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CC" w:rsidRPr="00F21541" w:rsidRDefault="003865CC" w:rsidP="005D521C">
      <w:pPr>
        <w:jc w:val="right"/>
        <w:rPr>
          <w:sz w:val="20"/>
          <w:szCs w:val="20"/>
          <w:lang w:val="en-GB"/>
        </w:rPr>
      </w:pPr>
      <w:r w:rsidRPr="00F21541">
        <w:rPr>
          <w:sz w:val="20"/>
          <w:szCs w:val="20"/>
          <w:lang w:val="en-GB"/>
        </w:rPr>
        <w:t xml:space="preserve">Draft </w:t>
      </w:r>
      <w:r w:rsidR="003B7276" w:rsidRPr="00F21541">
        <w:rPr>
          <w:sz w:val="20"/>
          <w:szCs w:val="20"/>
          <w:lang w:val="en-GB"/>
        </w:rPr>
        <w:t>July 20</w:t>
      </w:r>
      <w:r w:rsidR="00F21541" w:rsidRPr="00F21541">
        <w:rPr>
          <w:sz w:val="20"/>
          <w:szCs w:val="20"/>
          <w:lang w:val="en-GB"/>
        </w:rPr>
        <w:t>; rev. Aug. 29, 2015</w:t>
      </w:r>
    </w:p>
    <w:p w:rsidR="005D521C" w:rsidRDefault="005D521C" w:rsidP="000C3849">
      <w:pPr>
        <w:rPr>
          <w:b/>
          <w:lang w:val="en-GB"/>
        </w:rPr>
      </w:pPr>
    </w:p>
    <w:p w:rsidR="005D521C" w:rsidRDefault="005D521C" w:rsidP="000C3849">
      <w:pPr>
        <w:rPr>
          <w:b/>
          <w:lang w:val="en-GB"/>
        </w:rPr>
      </w:pPr>
    </w:p>
    <w:p w:rsidR="00DB33A3" w:rsidRPr="003865CC" w:rsidRDefault="003865CC" w:rsidP="00DB33A3">
      <w:pPr>
        <w:jc w:val="center"/>
        <w:rPr>
          <w:b/>
          <w:sz w:val="22"/>
          <w:szCs w:val="22"/>
          <w:lang w:val="en-GB"/>
        </w:rPr>
      </w:pPr>
      <w:r>
        <w:rPr>
          <w:b/>
          <w:sz w:val="28"/>
          <w:szCs w:val="28"/>
          <w:lang w:val="en-GB"/>
        </w:rPr>
        <w:t>“Causes of Eurozone C</w:t>
      </w:r>
      <w:r w:rsidR="00DB33A3" w:rsidRPr="001D1B54">
        <w:rPr>
          <w:b/>
          <w:sz w:val="28"/>
          <w:szCs w:val="28"/>
          <w:lang w:val="en-GB"/>
        </w:rPr>
        <w:t>ris</w:t>
      </w:r>
      <w:r w:rsidR="003B7276" w:rsidRPr="001D1B54">
        <w:rPr>
          <w:b/>
          <w:sz w:val="28"/>
          <w:szCs w:val="28"/>
          <w:lang w:val="en-GB"/>
        </w:rPr>
        <w:t>e</w:t>
      </w:r>
      <w:r w:rsidR="00DB33A3" w:rsidRPr="001D1B54">
        <w:rPr>
          <w:b/>
          <w:sz w:val="28"/>
          <w:szCs w:val="28"/>
          <w:lang w:val="en-GB"/>
        </w:rPr>
        <w:t>s”</w:t>
      </w:r>
      <w:r w:rsidRPr="003865CC">
        <w:rPr>
          <w:b/>
          <w:sz w:val="22"/>
          <w:szCs w:val="22"/>
          <w:lang w:val="en-GB"/>
        </w:rPr>
        <w:br/>
      </w:r>
    </w:p>
    <w:p w:rsidR="00DB33A3" w:rsidRPr="00DB33A3" w:rsidRDefault="00DB33A3" w:rsidP="00DB33A3">
      <w:pPr>
        <w:jc w:val="center"/>
        <w:rPr>
          <w:b/>
          <w:lang w:val="en-GB"/>
        </w:rPr>
      </w:pPr>
      <w:r w:rsidRPr="00DB33A3">
        <w:rPr>
          <w:b/>
          <w:lang w:val="en-GB"/>
        </w:rPr>
        <w:t>Jeffrey Frankel, Professor, Harvard University</w:t>
      </w:r>
    </w:p>
    <w:p w:rsidR="00DB33A3" w:rsidRDefault="00DB33A3" w:rsidP="000C3849">
      <w:pPr>
        <w:rPr>
          <w:b/>
          <w:lang w:val="en-GB"/>
        </w:rPr>
      </w:pPr>
    </w:p>
    <w:p w:rsidR="000C3849" w:rsidRPr="00DB33A3" w:rsidRDefault="00DB33A3" w:rsidP="00DB33A3">
      <w:pPr>
        <w:jc w:val="center"/>
        <w:rPr>
          <w:lang w:val="en-GB"/>
        </w:rPr>
      </w:pPr>
      <w:r w:rsidRPr="00DB33A3">
        <w:rPr>
          <w:lang w:val="en-GB"/>
        </w:rPr>
        <w:t>Written f</w:t>
      </w:r>
      <w:r w:rsidR="000C3849" w:rsidRPr="00DB33A3">
        <w:rPr>
          <w:lang w:val="en-GB"/>
        </w:rPr>
        <w:t xml:space="preserve">or </w:t>
      </w:r>
      <w:r w:rsidR="000C3849" w:rsidRPr="00DB33A3">
        <w:rPr>
          <w:i/>
          <w:lang w:val="en-GB"/>
        </w:rPr>
        <w:t xml:space="preserve">Causes of </w:t>
      </w:r>
      <w:r w:rsidR="005D521C" w:rsidRPr="00DB33A3">
        <w:rPr>
          <w:i/>
          <w:lang w:val="en-GB"/>
        </w:rPr>
        <w:t>Eurozone crises past and future</w:t>
      </w:r>
      <w:r w:rsidRPr="00DB33A3">
        <w:rPr>
          <w:i/>
          <w:lang w:val="en-GB"/>
        </w:rPr>
        <w:t>,</w:t>
      </w:r>
      <w:r w:rsidR="000C3849" w:rsidRPr="00DB33A3">
        <w:rPr>
          <w:lang w:val="en-GB"/>
        </w:rPr>
        <w:t xml:space="preserve"> a VoxEU eBook co-edited by Richard Baldwin and Francesco Giavazzi, part of the “Rebooting Europe” project.</w:t>
      </w:r>
    </w:p>
    <w:p w:rsidR="000C3849" w:rsidRDefault="000C3849" w:rsidP="000C3849">
      <w:pPr>
        <w:rPr>
          <w:sz w:val="22"/>
          <w:szCs w:val="22"/>
          <w:lang w:val="en-GB"/>
        </w:rPr>
      </w:pPr>
    </w:p>
    <w:p w:rsidR="000C3849" w:rsidRPr="00985BC4" w:rsidRDefault="000C3849" w:rsidP="00D95EA1">
      <w:pPr>
        <w:rPr>
          <w:sz w:val="16"/>
          <w:szCs w:val="16"/>
          <w:lang w:val="en-GB"/>
        </w:rPr>
      </w:pPr>
    </w:p>
    <w:p w:rsidR="006345E5" w:rsidRDefault="006345E5"/>
    <w:p w:rsidR="005D521C" w:rsidRDefault="005D521C"/>
    <w:p w:rsidR="009D4509" w:rsidRDefault="009D4509" w:rsidP="00CB4F9D">
      <w:pPr>
        <w:ind w:firstLine="720"/>
      </w:pPr>
      <w:r>
        <w:t xml:space="preserve">After six </w:t>
      </w:r>
      <w:r w:rsidR="00C669FA">
        <w:t>year</w:t>
      </w:r>
      <w:r>
        <w:t>s</w:t>
      </w:r>
      <w:r w:rsidR="00C669FA">
        <w:t xml:space="preserve"> of crisis</w:t>
      </w:r>
      <w:r>
        <w:t xml:space="preserve"> in the eurozone</w:t>
      </w:r>
      <w:r w:rsidR="00C669FA">
        <w:t xml:space="preserve">, it is hard to find anyone who is optimistic about the prospects.  </w:t>
      </w:r>
      <w:r>
        <w:t xml:space="preserve">To make the monetary union work would seem to require that the member countries relinquish more national sovereignty than they originally agreed to.   Meanwhile the crisis has </w:t>
      </w:r>
      <w:r w:rsidR="00186D33">
        <w:t>made</w:t>
      </w:r>
      <w:r>
        <w:t xml:space="preserve"> the publics in most of the member countries </w:t>
      </w:r>
      <w:r w:rsidRPr="003B7276">
        <w:rPr>
          <w:i/>
        </w:rPr>
        <w:t>less</w:t>
      </w:r>
      <w:r>
        <w:t xml:space="preserve"> inclined to give up sovereignty than before, even if their elites ask them to give up more.</w:t>
      </w:r>
    </w:p>
    <w:p w:rsidR="009D4509" w:rsidRDefault="009D4509"/>
    <w:p w:rsidR="003B2DBD" w:rsidRDefault="009D4509" w:rsidP="00CB4F9D">
      <w:pPr>
        <w:ind w:firstLine="720"/>
      </w:pPr>
      <w:r>
        <w:t>American economists</w:t>
      </w:r>
      <w:r w:rsidR="003B2DBD">
        <w:t xml:space="preserve"> continue to be</w:t>
      </w:r>
      <w:r>
        <w:t xml:space="preserve"> especially pessimistic about the prospects.  </w:t>
      </w:r>
      <w:r w:rsidR="003B7276">
        <w:t>They might be pardoned for thinking that many of their warnings have come true.</w:t>
      </w:r>
      <w:r w:rsidR="003B7276" w:rsidRPr="003B7276">
        <w:rPr>
          <w:rStyle w:val="FootnoteReference"/>
        </w:rPr>
        <w:t xml:space="preserve"> </w:t>
      </w:r>
      <w:r w:rsidR="003B7276">
        <w:rPr>
          <w:rStyle w:val="FootnoteReference"/>
        </w:rPr>
        <w:footnoteReference w:id="1"/>
      </w:r>
      <w:r w:rsidR="003B7276">
        <w:t xml:space="preserve">  </w:t>
      </w:r>
      <w:r>
        <w:t xml:space="preserve"> </w:t>
      </w:r>
      <w:r w:rsidR="003B2DBD">
        <w:t>Even Martin Feldstein’s warning that the project would eventually result in worse political relations among the members, rather than better relations as intended, has lately turned out to have been surprisingly on target.</w:t>
      </w:r>
      <w:r w:rsidR="005D521C">
        <w:t xml:space="preserve"> </w:t>
      </w:r>
      <w:r w:rsidR="005D521C">
        <w:rPr>
          <w:rStyle w:val="FootnoteReference"/>
        </w:rPr>
        <w:footnoteReference w:id="2"/>
      </w:r>
    </w:p>
    <w:p w:rsidR="003B2DBD" w:rsidRDefault="003B2DBD"/>
    <w:p w:rsidR="009D4509" w:rsidRDefault="009D4509" w:rsidP="00CB4F9D">
      <w:pPr>
        <w:ind w:firstLine="720"/>
      </w:pPr>
      <w:r>
        <w:t xml:space="preserve">But we </w:t>
      </w:r>
      <w:r w:rsidR="003B7276">
        <w:t xml:space="preserve">pessimists </w:t>
      </w:r>
      <w:r>
        <w:t xml:space="preserve">should recall that the 13 </w:t>
      </w:r>
      <w:r w:rsidR="003B7276">
        <w:t xml:space="preserve">American </w:t>
      </w:r>
      <w:r>
        <w:t xml:space="preserve">colonies were no more eager to give up their separate sovereignties as of 1783, at the end of the American Revolution, than European countries today.   And yet by </w:t>
      </w:r>
      <w:r w:rsidR="003B2DBD">
        <w:t>1789</w:t>
      </w:r>
      <w:r>
        <w:t>, against all odds, the colonies had agreed to federate as a single nation under the United States constitution.</w:t>
      </w:r>
      <w:r w:rsidR="005D521C">
        <w:rPr>
          <w:rStyle w:val="FootnoteReference"/>
        </w:rPr>
        <w:footnoteReference w:id="3"/>
      </w:r>
      <w:r w:rsidR="005D521C">
        <w:t xml:space="preserve">  </w:t>
      </w:r>
    </w:p>
    <w:p w:rsidR="00B61123" w:rsidRDefault="00B61123" w:rsidP="00B61123"/>
    <w:p w:rsidR="00B61123" w:rsidRPr="00B61123" w:rsidRDefault="00B65B88" w:rsidP="00B61123">
      <w:pPr>
        <w:rPr>
          <w:b/>
        </w:rPr>
      </w:pPr>
      <w:r>
        <w:rPr>
          <w:b/>
        </w:rPr>
        <w:t>Three fundamental s</w:t>
      </w:r>
      <w:r w:rsidR="00B61123" w:rsidRPr="00B61123">
        <w:rPr>
          <w:b/>
        </w:rPr>
        <w:t>ources of Eurozone crises</w:t>
      </w:r>
    </w:p>
    <w:p w:rsidR="009D4509" w:rsidRDefault="009D4509"/>
    <w:p w:rsidR="00A853F1" w:rsidRDefault="009D4509" w:rsidP="00CB4F9D">
      <w:pPr>
        <w:ind w:firstLine="360"/>
      </w:pPr>
      <w:r>
        <w:t xml:space="preserve">The </w:t>
      </w:r>
      <w:r w:rsidR="00A853F1">
        <w:t xml:space="preserve">sources of </w:t>
      </w:r>
      <w:r w:rsidR="00186D33">
        <w:t>Eurozone crises</w:t>
      </w:r>
      <w:r w:rsidR="00A853F1">
        <w:t xml:space="preserve">, </w:t>
      </w:r>
      <w:r>
        <w:t>past and future</w:t>
      </w:r>
      <w:r w:rsidR="00A853F1">
        <w:t xml:space="preserve">, </w:t>
      </w:r>
      <w:r>
        <w:t xml:space="preserve">can be divided </w:t>
      </w:r>
      <w:r w:rsidR="00A853F1">
        <w:t>into three areas:</w:t>
      </w:r>
      <w:r w:rsidR="005D521C">
        <w:rPr>
          <w:rStyle w:val="FootnoteReference"/>
        </w:rPr>
        <w:footnoteReference w:id="4"/>
      </w:r>
      <w:r w:rsidR="005D521C">
        <w:t xml:space="preserve"> </w:t>
      </w:r>
      <w:r w:rsidR="00A853F1">
        <w:t xml:space="preserve">  </w:t>
      </w:r>
    </w:p>
    <w:p w:rsidR="009D4509" w:rsidRPr="00A853F1" w:rsidRDefault="00A853F1" w:rsidP="00A853F1">
      <w:pPr>
        <w:pStyle w:val="ListParagraph"/>
        <w:numPr>
          <w:ilvl w:val="0"/>
          <w:numId w:val="1"/>
        </w:numPr>
        <w:rPr>
          <w:sz w:val="24"/>
          <w:szCs w:val="24"/>
        </w:rPr>
      </w:pPr>
      <w:r w:rsidRPr="00A853F1">
        <w:rPr>
          <w:sz w:val="24"/>
          <w:szCs w:val="24"/>
        </w:rPr>
        <w:t xml:space="preserve">asymmetric shocks, where the problem is loss of ability to respond to national </w:t>
      </w:r>
      <w:r w:rsidR="003B7276">
        <w:rPr>
          <w:sz w:val="24"/>
          <w:szCs w:val="24"/>
        </w:rPr>
        <w:t xml:space="preserve">economic </w:t>
      </w:r>
      <w:r w:rsidRPr="00A853F1">
        <w:rPr>
          <w:sz w:val="24"/>
          <w:szCs w:val="24"/>
        </w:rPr>
        <w:t>conditions via independent monetary policy or devaluation;</w:t>
      </w:r>
    </w:p>
    <w:p w:rsidR="00A853F1" w:rsidRPr="00A853F1" w:rsidRDefault="00A853F1" w:rsidP="00A853F1">
      <w:pPr>
        <w:pStyle w:val="ListParagraph"/>
        <w:numPr>
          <w:ilvl w:val="0"/>
          <w:numId w:val="1"/>
        </w:numPr>
        <w:rPr>
          <w:i/>
          <w:sz w:val="24"/>
          <w:szCs w:val="24"/>
        </w:rPr>
      </w:pPr>
      <w:r w:rsidRPr="00A853F1">
        <w:rPr>
          <w:sz w:val="24"/>
          <w:szCs w:val="24"/>
        </w:rPr>
        <w:t>fiscal policy, where the problem is the real and perceived moral hazard that the prospects for bailouts create for the incentive of member countries to exercise budget discipline; and</w:t>
      </w:r>
    </w:p>
    <w:p w:rsidR="00A853F1" w:rsidRPr="00A853F1" w:rsidRDefault="00A853F1" w:rsidP="00A853F1">
      <w:pPr>
        <w:pStyle w:val="ListParagraph"/>
        <w:numPr>
          <w:ilvl w:val="0"/>
          <w:numId w:val="1"/>
        </w:numPr>
        <w:rPr>
          <w:i/>
          <w:sz w:val="24"/>
          <w:szCs w:val="24"/>
        </w:rPr>
      </w:pPr>
      <w:r w:rsidRPr="00A853F1">
        <w:rPr>
          <w:sz w:val="24"/>
          <w:szCs w:val="24"/>
        </w:rPr>
        <w:lastRenderedPageBreak/>
        <w:t xml:space="preserve">banking, where the problem, as with fiscal policy, is that responsibility for </w:t>
      </w:r>
      <w:r>
        <w:rPr>
          <w:sz w:val="24"/>
          <w:szCs w:val="24"/>
        </w:rPr>
        <w:t>financial regulation was left at the national level while monetary policy was moved to the ECB.</w:t>
      </w:r>
    </w:p>
    <w:p w:rsidR="00CB4F9D" w:rsidRDefault="00A853F1" w:rsidP="003B7276">
      <w:pPr>
        <w:ind w:firstLine="720"/>
      </w:pPr>
      <w:r>
        <w:t xml:space="preserve">Problem number 1 is a way of saying that the members of the Eurozone don’t </w:t>
      </w:r>
      <w:r w:rsidR="00C669FA">
        <w:t>meet the criteria for an optimum currency area</w:t>
      </w:r>
      <w:r w:rsidR="003B2DBD">
        <w:t xml:space="preserve"> (OCA).   This was the main basis for the pessimism of most American economists </w:t>
      </w:r>
      <w:r w:rsidR="00186D33">
        <w:t>ahead</w:t>
      </w:r>
      <w:r w:rsidR="003B2DBD">
        <w:t xml:space="preserve"> of time.</w:t>
      </w:r>
      <w:r w:rsidR="005D521C">
        <w:t xml:space="preserve"> </w:t>
      </w:r>
      <w:r w:rsidR="003B2DBD">
        <w:t xml:space="preserve">The OCA criteria start </w:t>
      </w:r>
      <w:r w:rsidR="004659A0">
        <w:t xml:space="preserve">with the need for </w:t>
      </w:r>
      <w:r w:rsidR="003B7276">
        <w:t>“</w:t>
      </w:r>
      <w:r w:rsidR="004659A0">
        <w:t>symmetry of shocks</w:t>
      </w:r>
      <w:r w:rsidR="003B2DBD">
        <w:t>,</w:t>
      </w:r>
      <w:r w:rsidR="004659A0">
        <w:t>”</w:t>
      </w:r>
      <w:r w:rsidR="003B2DBD">
        <w:t xml:space="preserve"> </w:t>
      </w:r>
      <w:r w:rsidR="004659A0">
        <w:t>i.e., high cyclical correlation</w:t>
      </w:r>
      <w:r w:rsidR="00C669FA">
        <w:t xml:space="preserve">. </w:t>
      </w:r>
      <w:r w:rsidR="003B2DBD">
        <w:t xml:space="preserve">  </w:t>
      </w:r>
      <w:r w:rsidR="003B7276">
        <w:t>It turned out that euro members did indeed suffer from asymmetric shocks. E</w:t>
      </w:r>
      <w:r w:rsidR="004659A0">
        <w:t xml:space="preserve">conomic conditions in </w:t>
      </w:r>
      <w:r w:rsidR="00C669FA">
        <w:t xml:space="preserve">a country like Ireland during the </w:t>
      </w:r>
      <w:r w:rsidR="004659A0">
        <w:t>first decade of the euro warranted</w:t>
      </w:r>
      <w:r w:rsidR="00C669FA">
        <w:t xml:space="preserve"> a tighter monetary policy than was set in Frankfurt</w:t>
      </w:r>
      <w:r w:rsidR="004659A0">
        <w:t>, and conditions after 2008 warranted an easier monetary policy.</w:t>
      </w:r>
      <w:r w:rsidR="00C669FA">
        <w:t xml:space="preserve">  </w:t>
      </w:r>
    </w:p>
    <w:p w:rsidR="00CB4F9D" w:rsidRDefault="00CB4F9D" w:rsidP="00CB4F9D"/>
    <w:p w:rsidR="003B2DBD" w:rsidRDefault="003B2DBD" w:rsidP="00557371">
      <w:pPr>
        <w:ind w:firstLine="720"/>
      </w:pPr>
      <w:r>
        <w:t>Problem number 2</w:t>
      </w:r>
      <w:r w:rsidR="00CB4F9D">
        <w:t xml:space="preserve">, the fiscal problem, was not part of </w:t>
      </w:r>
      <w:r>
        <w:t>the traditional OCA criteria.</w:t>
      </w:r>
      <w:r w:rsidR="008811FB">
        <w:t xml:space="preserve">  T</w:t>
      </w:r>
      <w:r w:rsidR="00D45F5E">
        <w:t>hat t</w:t>
      </w:r>
      <w:r w:rsidR="008811FB">
        <w:t>he architects of the euro in 1991 did focus</w:t>
      </w:r>
      <w:r w:rsidR="00D45F5E">
        <w:t xml:space="preserve">ed sharply on this issue </w:t>
      </w:r>
      <w:r w:rsidR="008811FB">
        <w:t>surprise</w:t>
      </w:r>
      <w:r w:rsidR="00D45F5E">
        <w:t>d</w:t>
      </w:r>
      <w:r w:rsidR="008811FB">
        <w:t xml:space="preserve"> many economists at the time.</w:t>
      </w:r>
      <w:r w:rsidR="008811FB">
        <w:rPr>
          <w:rStyle w:val="FootnoteReference"/>
        </w:rPr>
        <w:footnoteReference w:id="5"/>
      </w:r>
      <w:r w:rsidR="00D45F5E">
        <w:t xml:space="preserve">  </w:t>
      </w:r>
      <w:r w:rsidR="008811FB" w:rsidRPr="00742441">
        <w:t>The</w:t>
      </w:r>
      <w:r w:rsidR="00D45F5E">
        <w:t xml:space="preserve"> architects</w:t>
      </w:r>
      <w:r w:rsidR="008811FB" w:rsidRPr="00742441">
        <w:t xml:space="preserve"> put fiscal and debt limits at the heart of the Maastricht criteria for entry (3% of GDP and 60 %, respectively), th</w:t>
      </w:r>
      <w:r w:rsidR="00D45F5E">
        <w:t>ey adopted a “No Bailout Clause</w:t>
      </w:r>
      <w:r w:rsidR="008811FB" w:rsidRPr="00742441">
        <w:t>”</w:t>
      </w:r>
      <w:r w:rsidR="00D45F5E">
        <w:t xml:space="preserve"> (1991)</w:t>
      </w:r>
      <w:r w:rsidR="008811FB" w:rsidRPr="00742441">
        <w:t xml:space="preserve"> and later they agreed th</w:t>
      </w:r>
      <w:r w:rsidR="00D45F5E">
        <w:t>e Stability and Growth Pact (1997</w:t>
      </w:r>
      <w:r w:rsidR="008811FB" w:rsidRPr="00742441">
        <w:t>) and its successors.   They deserve credit for recognizing the mor</w:t>
      </w:r>
      <w:r w:rsidR="00D45F5E">
        <w:t>al hazard problem early, in that</w:t>
      </w:r>
      <w:r w:rsidR="008811FB" w:rsidRPr="00742441">
        <w:t xml:space="preserve"> fiscal policy constraints had not previously been featured in the scholars’ lists of Optimum Currency Area criteria.   </w:t>
      </w:r>
      <w:r w:rsidR="00557371">
        <w:t xml:space="preserve">  On the other hand</w:t>
      </w:r>
      <w:r w:rsidR="00D45F5E">
        <w:t>, t</w:t>
      </w:r>
      <w:r w:rsidR="00186D33" w:rsidRPr="00742441">
        <w:t>he elites were forced to do it politically</w:t>
      </w:r>
      <w:r w:rsidR="00186D33">
        <w:t xml:space="preserve">.  </w:t>
      </w:r>
      <w:r w:rsidR="008811FB">
        <w:t>V</w:t>
      </w:r>
      <w:r w:rsidR="008811FB" w:rsidRPr="00742441">
        <w:t xml:space="preserve">oters in Germany </w:t>
      </w:r>
      <w:r w:rsidR="00CB4F9D">
        <w:t xml:space="preserve">and some other </w:t>
      </w:r>
      <w:r w:rsidR="008811FB" w:rsidRPr="00742441">
        <w:t xml:space="preserve">Northern European creditor </w:t>
      </w:r>
      <w:r w:rsidR="00186D33" w:rsidRPr="00742441">
        <w:t>countries</w:t>
      </w:r>
      <w:r w:rsidR="00186D33">
        <w:t xml:space="preserve"> </w:t>
      </w:r>
      <w:r w:rsidR="00186D33" w:rsidRPr="00742441">
        <w:t>were</w:t>
      </w:r>
      <w:r w:rsidR="008811FB" w:rsidRPr="00742441">
        <w:t xml:space="preserve"> opposed to the euro </w:t>
      </w:r>
      <w:r w:rsidR="00D45F5E">
        <w:t xml:space="preserve">project </w:t>
      </w:r>
      <w:r w:rsidR="008811FB" w:rsidRPr="00742441">
        <w:t xml:space="preserve">on the grounds that “we know you </w:t>
      </w:r>
      <w:r w:rsidR="00D45F5E">
        <w:t xml:space="preserve">elites </w:t>
      </w:r>
      <w:r w:rsidR="008811FB" w:rsidRPr="00742441">
        <w:t>will have us bailing out a profligate Mediterranean government before you’re done.</w:t>
      </w:r>
      <w:r w:rsidR="00D45F5E">
        <w:t xml:space="preserve">”  </w:t>
      </w:r>
    </w:p>
    <w:p w:rsidR="00557371" w:rsidRDefault="00557371" w:rsidP="00557371">
      <w:pPr>
        <w:ind w:firstLine="720"/>
      </w:pPr>
    </w:p>
    <w:p w:rsidR="00CB4F9D" w:rsidRPr="00742441" w:rsidRDefault="00CB4F9D" w:rsidP="00CB4F9D">
      <w:pPr>
        <w:ind w:firstLine="360"/>
      </w:pPr>
      <w:r w:rsidRPr="00742441">
        <w:t xml:space="preserve">Problem 3, </w:t>
      </w:r>
      <w:r w:rsidRPr="00CB4F9D">
        <w:t>banking supervision,</w:t>
      </w:r>
      <w:r w:rsidRPr="00742441">
        <w:t xml:space="preserve"> was at best mentioned in passing </w:t>
      </w:r>
      <w:r>
        <w:t xml:space="preserve">in the 1990s.  </w:t>
      </w:r>
      <w:r w:rsidRPr="00742441">
        <w:t xml:space="preserve">Almost no thought was given to the possibility of moving deposit insurance, </w:t>
      </w:r>
      <w:r>
        <w:t>supervision, or bank resolution</w:t>
      </w:r>
      <w:r w:rsidRPr="00742441">
        <w:t xml:space="preserve"> to the ECB level.  </w:t>
      </w:r>
      <w:r w:rsidR="00D45F5E">
        <w:t xml:space="preserve"> Fortunately the eurozone has taken some steps in the direction of banking union since Mario Draghi became ECB president.</w:t>
      </w:r>
    </w:p>
    <w:p w:rsidR="003B2DBD" w:rsidRDefault="003B2DBD" w:rsidP="003B2DBD"/>
    <w:p w:rsidR="00665B78" w:rsidRPr="00665B78" w:rsidRDefault="00C335AD" w:rsidP="003B2DBD">
      <w:pPr>
        <w:rPr>
          <w:b/>
        </w:rPr>
      </w:pPr>
      <w:r>
        <w:rPr>
          <w:b/>
        </w:rPr>
        <w:t xml:space="preserve">Seven </w:t>
      </w:r>
      <w:r w:rsidR="00665B78" w:rsidRPr="00665B78">
        <w:rPr>
          <w:b/>
        </w:rPr>
        <w:t>Mistakes</w:t>
      </w:r>
    </w:p>
    <w:p w:rsidR="00671E67" w:rsidRDefault="00671E67" w:rsidP="00671E67"/>
    <w:p w:rsidR="00671E67" w:rsidRDefault="00671E67" w:rsidP="00671E67">
      <w:r>
        <w:tab/>
        <w:t>Arguably if the Eurozone had gotten through its first decade or two without a serious crisis, some of the structural fundamentals might have evolved favorably, as they did early in US history.   A monetary union tends to raise the trade links and raise the symmetry of shocks among the members, so that it may meet the OCA criteria ex post even if it does not ex ante.  But how can the Eurozone get through a decade or two without a crisis?</w:t>
      </w:r>
    </w:p>
    <w:p w:rsidR="00671E67" w:rsidRDefault="00671E67" w:rsidP="00671E67"/>
    <w:p w:rsidR="00665B78" w:rsidRDefault="00671E67" w:rsidP="00671E67">
      <w:pPr>
        <w:ind w:firstLine="720"/>
      </w:pPr>
      <w:r>
        <w:t xml:space="preserve">One can take as given that the member countries wanted to go ahead and form a monetary union at the end of the 1990s, and even take as given that they weren’t yet ready to give up sovereignty with respect to fiscal policy and banking regulation, and yet identify a variety of ways in which it could have been done better.  Ivory tower observers are generally too quick to point out the mistakes made by political leaders, often failing to recognize the constraints they were under at the time.   Nevertheless, one can identify </w:t>
      </w:r>
      <w:r w:rsidR="00557371">
        <w:t>at least seven</w:t>
      </w:r>
      <w:r>
        <w:t xml:space="preserve"> mistakes.</w:t>
      </w:r>
    </w:p>
    <w:p w:rsidR="00671E67" w:rsidRDefault="00671E67" w:rsidP="00E318A1"/>
    <w:p w:rsidR="00671E67" w:rsidRPr="008272D8" w:rsidRDefault="00671E67" w:rsidP="008272D8">
      <w:pPr>
        <w:pStyle w:val="ListParagraph"/>
        <w:numPr>
          <w:ilvl w:val="0"/>
          <w:numId w:val="2"/>
        </w:numPr>
        <w:spacing w:line="240" w:lineRule="auto"/>
        <w:rPr>
          <w:sz w:val="24"/>
          <w:szCs w:val="24"/>
        </w:rPr>
      </w:pPr>
      <w:r w:rsidRPr="008272D8">
        <w:rPr>
          <w:sz w:val="24"/>
          <w:szCs w:val="24"/>
        </w:rPr>
        <w:t xml:space="preserve">The membership should not have been expanded so quickly.   In particular, Greece was not in truth ready to be admitted as early </w:t>
      </w:r>
      <w:r w:rsidR="00E318A1" w:rsidRPr="008272D8">
        <w:rPr>
          <w:sz w:val="24"/>
          <w:szCs w:val="24"/>
        </w:rPr>
        <w:t>as 2001.</w:t>
      </w:r>
      <w:r w:rsidR="00557371">
        <w:rPr>
          <w:sz w:val="24"/>
          <w:szCs w:val="24"/>
        </w:rPr>
        <w:t xml:space="preserve">  Given the absence of any provision for countries to leave the euro, it would have paid to take more time with the entry process, even if it meant putting off some countries forever.</w:t>
      </w:r>
      <w:r w:rsidR="008272D8" w:rsidRPr="008272D8">
        <w:rPr>
          <w:sz w:val="24"/>
          <w:szCs w:val="24"/>
        </w:rPr>
        <w:br/>
      </w:r>
    </w:p>
    <w:p w:rsidR="007B08FE" w:rsidRPr="007B08FE" w:rsidRDefault="00557371" w:rsidP="007B08FE">
      <w:pPr>
        <w:pStyle w:val="ListParagraph"/>
        <w:numPr>
          <w:ilvl w:val="0"/>
          <w:numId w:val="2"/>
        </w:numPr>
        <w:spacing w:line="240" w:lineRule="auto"/>
        <w:rPr>
          <w:sz w:val="24"/>
          <w:szCs w:val="24"/>
        </w:rPr>
      </w:pPr>
      <w:r>
        <w:rPr>
          <w:sz w:val="24"/>
          <w:szCs w:val="24"/>
        </w:rPr>
        <w:t>S</w:t>
      </w:r>
      <w:r w:rsidRPr="00557371">
        <w:rPr>
          <w:sz w:val="24"/>
          <w:szCs w:val="24"/>
        </w:rPr>
        <w:t>oon after the euro’s inauguration</w:t>
      </w:r>
      <w:r>
        <w:rPr>
          <w:sz w:val="24"/>
          <w:szCs w:val="24"/>
        </w:rPr>
        <w:t>,</w:t>
      </w:r>
      <w:r w:rsidRPr="00557371">
        <w:rPr>
          <w:sz w:val="24"/>
          <w:szCs w:val="24"/>
        </w:rPr>
        <w:t xml:space="preserve"> it became very clear that the attempt to address problem 2 had failed:  th</w:t>
      </w:r>
      <w:r>
        <w:rPr>
          <w:sz w:val="24"/>
          <w:szCs w:val="24"/>
        </w:rPr>
        <w:t>e</w:t>
      </w:r>
      <w:r w:rsidRPr="00557371">
        <w:rPr>
          <w:sz w:val="24"/>
          <w:szCs w:val="24"/>
        </w:rPr>
        <w:t xml:space="preserve"> fiscal criteria were violated </w:t>
      </w:r>
      <w:r>
        <w:rPr>
          <w:sz w:val="24"/>
          <w:szCs w:val="24"/>
        </w:rPr>
        <w:t>repeatedly, by countries large and small.  T</w:t>
      </w:r>
      <w:r w:rsidRPr="00557371">
        <w:rPr>
          <w:sz w:val="24"/>
          <w:szCs w:val="24"/>
        </w:rPr>
        <w:t xml:space="preserve">he SGP </w:t>
      </w:r>
      <w:r w:rsidR="007B08FE">
        <w:rPr>
          <w:sz w:val="24"/>
          <w:szCs w:val="24"/>
        </w:rPr>
        <w:t xml:space="preserve">(Stability and Growth Pact) </w:t>
      </w:r>
      <w:r w:rsidRPr="00557371">
        <w:rPr>
          <w:sz w:val="24"/>
          <w:szCs w:val="24"/>
        </w:rPr>
        <w:t>h</w:t>
      </w:r>
      <w:r>
        <w:rPr>
          <w:sz w:val="24"/>
          <w:szCs w:val="24"/>
        </w:rPr>
        <w:t xml:space="preserve">ad no teeth and no credibility.   </w:t>
      </w:r>
      <w:r w:rsidRPr="00557371">
        <w:rPr>
          <w:sz w:val="24"/>
          <w:szCs w:val="24"/>
        </w:rPr>
        <w:t>In other words, the moral hazard problem, though correctly identified, had not been effectively addressed.  Virtua</w:t>
      </w:r>
      <w:r>
        <w:rPr>
          <w:sz w:val="24"/>
          <w:szCs w:val="24"/>
        </w:rPr>
        <w:t xml:space="preserve">lly all members </w:t>
      </w:r>
      <w:r w:rsidRPr="00557371">
        <w:rPr>
          <w:sz w:val="24"/>
          <w:szCs w:val="24"/>
        </w:rPr>
        <w:t xml:space="preserve">had violated the </w:t>
      </w:r>
      <w:r w:rsidR="007B08FE">
        <w:rPr>
          <w:sz w:val="24"/>
          <w:szCs w:val="24"/>
        </w:rPr>
        <w:t>ceilings</w:t>
      </w:r>
      <w:r w:rsidRPr="00557371">
        <w:rPr>
          <w:sz w:val="24"/>
          <w:szCs w:val="24"/>
        </w:rPr>
        <w:t xml:space="preserve"> well before the euro crisis began in late 2009.</w:t>
      </w:r>
      <w:r w:rsidRPr="00557371">
        <w:rPr>
          <w:rStyle w:val="FootnoteReference"/>
          <w:sz w:val="24"/>
          <w:szCs w:val="24"/>
        </w:rPr>
        <w:footnoteReference w:id="6"/>
      </w:r>
      <w:r w:rsidRPr="00557371">
        <w:rPr>
          <w:sz w:val="24"/>
          <w:szCs w:val="24"/>
        </w:rPr>
        <w:t xml:space="preserve">  </w:t>
      </w:r>
      <w:r w:rsidR="00952551">
        <w:rPr>
          <w:sz w:val="24"/>
          <w:szCs w:val="24"/>
        </w:rPr>
        <w:t xml:space="preserve"> When they received letters from Brussels informing th</w:t>
      </w:r>
      <w:r w:rsidR="00F21541">
        <w:rPr>
          <w:sz w:val="24"/>
          <w:szCs w:val="24"/>
        </w:rPr>
        <w:t>em</w:t>
      </w:r>
      <w:r w:rsidR="00952551">
        <w:rPr>
          <w:sz w:val="24"/>
          <w:szCs w:val="24"/>
        </w:rPr>
        <w:t xml:space="preserve"> that their budget deficits exceeded the ceilings and needed to be corrected, they would invariably </w:t>
      </w:r>
      <w:r w:rsidR="00894544">
        <w:rPr>
          <w:sz w:val="24"/>
          <w:szCs w:val="24"/>
        </w:rPr>
        <w:t xml:space="preserve">respond </w:t>
      </w:r>
      <w:r w:rsidR="00DD27A4">
        <w:rPr>
          <w:sz w:val="24"/>
          <w:szCs w:val="24"/>
        </w:rPr>
        <w:t>with optimistic</w:t>
      </w:r>
      <w:r w:rsidR="00952551">
        <w:rPr>
          <w:sz w:val="24"/>
          <w:szCs w:val="24"/>
        </w:rPr>
        <w:t xml:space="preserve"> forecasts that strong growth would </w:t>
      </w:r>
      <w:r w:rsidR="00894544">
        <w:rPr>
          <w:sz w:val="24"/>
          <w:szCs w:val="24"/>
        </w:rPr>
        <w:t xml:space="preserve">soon </w:t>
      </w:r>
      <w:r w:rsidR="00952551">
        <w:rPr>
          <w:sz w:val="24"/>
          <w:szCs w:val="24"/>
        </w:rPr>
        <w:t xml:space="preserve">bring the </w:t>
      </w:r>
      <w:r w:rsidR="00894544">
        <w:rPr>
          <w:sz w:val="24"/>
          <w:szCs w:val="24"/>
        </w:rPr>
        <w:t xml:space="preserve">deficits below the ceilings.  </w:t>
      </w:r>
      <w:r w:rsidRPr="00557371">
        <w:rPr>
          <w:sz w:val="24"/>
          <w:szCs w:val="24"/>
        </w:rPr>
        <w:t>Repeated atte</w:t>
      </w:r>
      <w:r w:rsidR="007B08FE">
        <w:rPr>
          <w:sz w:val="24"/>
          <w:szCs w:val="24"/>
        </w:rPr>
        <w:t xml:space="preserve">mpts to strengthen the SGP </w:t>
      </w:r>
      <w:r w:rsidRPr="00557371">
        <w:rPr>
          <w:sz w:val="24"/>
          <w:szCs w:val="24"/>
        </w:rPr>
        <w:t>failed</w:t>
      </w:r>
      <w:r w:rsidR="00894544">
        <w:rPr>
          <w:sz w:val="24"/>
          <w:szCs w:val="24"/>
        </w:rPr>
        <w:t>, perhaps because they did not take into account this problem of over-optimistic forecasts</w:t>
      </w:r>
      <w:r w:rsidRPr="00557371">
        <w:rPr>
          <w:sz w:val="24"/>
          <w:szCs w:val="24"/>
        </w:rPr>
        <w:t>.</w:t>
      </w:r>
      <w:r w:rsidR="00894544">
        <w:rPr>
          <w:rStyle w:val="FootnoteReference"/>
          <w:sz w:val="24"/>
          <w:szCs w:val="24"/>
        </w:rPr>
        <w:footnoteReference w:id="7"/>
      </w:r>
      <w:r w:rsidR="00952551">
        <w:rPr>
          <w:sz w:val="24"/>
          <w:szCs w:val="24"/>
        </w:rPr>
        <w:t xml:space="preserve"> </w:t>
      </w:r>
    </w:p>
    <w:p w:rsidR="00557371" w:rsidRDefault="00557371" w:rsidP="00557371">
      <w:pPr>
        <w:pStyle w:val="ListParagraph"/>
        <w:spacing w:line="240" w:lineRule="auto"/>
        <w:rPr>
          <w:sz w:val="24"/>
          <w:szCs w:val="24"/>
        </w:rPr>
      </w:pPr>
    </w:p>
    <w:p w:rsidR="00557371" w:rsidRDefault="00E318A1" w:rsidP="008272D8">
      <w:pPr>
        <w:pStyle w:val="ListParagraph"/>
        <w:numPr>
          <w:ilvl w:val="0"/>
          <w:numId w:val="2"/>
        </w:numPr>
        <w:spacing w:line="240" w:lineRule="auto"/>
        <w:rPr>
          <w:sz w:val="24"/>
          <w:szCs w:val="24"/>
        </w:rPr>
      </w:pPr>
      <w:r w:rsidRPr="008272D8">
        <w:rPr>
          <w:sz w:val="24"/>
          <w:szCs w:val="24"/>
        </w:rPr>
        <w:t>When interest rate spreads of Greece and other periphery countries fell almost to zero after joining the euro</w:t>
      </w:r>
      <w:r w:rsidR="00270A80" w:rsidRPr="008272D8">
        <w:rPr>
          <w:sz w:val="24"/>
          <w:szCs w:val="24"/>
        </w:rPr>
        <w:t xml:space="preserve"> (2002-07)</w:t>
      </w:r>
      <w:r w:rsidR="00557371" w:rsidRPr="00557371">
        <w:rPr>
          <w:sz w:val="24"/>
          <w:szCs w:val="24"/>
        </w:rPr>
        <w:t xml:space="preserve"> </w:t>
      </w:r>
      <w:r w:rsidR="00557371" w:rsidRPr="008272D8">
        <w:rPr>
          <w:sz w:val="24"/>
          <w:szCs w:val="24"/>
        </w:rPr>
        <w:t>despite substantial violations of the fiscal criteria</w:t>
      </w:r>
      <w:r w:rsidRPr="008272D8">
        <w:rPr>
          <w:sz w:val="24"/>
          <w:szCs w:val="24"/>
        </w:rPr>
        <w:t xml:space="preserve">, this was viewed as a good thing rather than a bad thing. </w:t>
      </w:r>
      <w:r w:rsidR="00557371">
        <w:rPr>
          <w:sz w:val="24"/>
          <w:szCs w:val="24"/>
        </w:rPr>
        <w:t xml:space="preserve"> But it is clear, at least in retrospect, that </w:t>
      </w:r>
      <w:r w:rsidRPr="008272D8">
        <w:rPr>
          <w:sz w:val="24"/>
          <w:szCs w:val="24"/>
        </w:rPr>
        <w:t xml:space="preserve">low spreads </w:t>
      </w:r>
      <w:r w:rsidR="00557371">
        <w:rPr>
          <w:sz w:val="24"/>
          <w:szCs w:val="24"/>
        </w:rPr>
        <w:t xml:space="preserve">among euro countries </w:t>
      </w:r>
      <w:r w:rsidRPr="008272D8">
        <w:rPr>
          <w:sz w:val="24"/>
          <w:szCs w:val="24"/>
        </w:rPr>
        <w:t xml:space="preserve">were direct </w:t>
      </w:r>
      <w:r w:rsidR="000A3EB7">
        <w:rPr>
          <w:sz w:val="24"/>
          <w:szCs w:val="24"/>
        </w:rPr>
        <w:t xml:space="preserve">real-time </w:t>
      </w:r>
      <w:r w:rsidRPr="008272D8">
        <w:rPr>
          <w:sz w:val="24"/>
          <w:szCs w:val="24"/>
        </w:rPr>
        <w:t xml:space="preserve">evidence </w:t>
      </w:r>
      <w:r w:rsidR="00270A80" w:rsidRPr="008272D8">
        <w:rPr>
          <w:sz w:val="24"/>
          <w:szCs w:val="24"/>
        </w:rPr>
        <w:t>that the</w:t>
      </w:r>
      <w:r w:rsidRPr="008272D8">
        <w:rPr>
          <w:sz w:val="24"/>
          <w:szCs w:val="24"/>
        </w:rPr>
        <w:t xml:space="preserve"> moral hazard problem had not been solved. </w:t>
      </w:r>
      <w:r w:rsidR="00557371">
        <w:rPr>
          <w:sz w:val="24"/>
          <w:szCs w:val="24"/>
        </w:rPr>
        <w:t xml:space="preserve">  </w:t>
      </w:r>
    </w:p>
    <w:p w:rsidR="00C747FB" w:rsidRPr="00557371" w:rsidRDefault="00101CDF" w:rsidP="00557371">
      <w:pPr>
        <w:ind w:firstLine="720"/>
      </w:pPr>
      <w:r>
        <w:t>Why did M</w:t>
      </w:r>
      <w:r w:rsidRPr="00557371">
        <w:t xml:space="preserve">editerranean country </w:t>
      </w:r>
      <w:r>
        <w:t>spreads relative to Germany all but disappear?  Private investors should</w:t>
      </w:r>
      <w:r w:rsidR="00E318A1" w:rsidRPr="00557371">
        <w:t xml:space="preserve"> bear some blame</w:t>
      </w:r>
      <w:r w:rsidR="00270A80" w:rsidRPr="00557371">
        <w:t xml:space="preserve"> for having </w:t>
      </w:r>
      <w:r w:rsidR="007B08FE">
        <w:t xml:space="preserve">pushed the throttle all the way to </w:t>
      </w:r>
      <w:r w:rsidR="00270A80" w:rsidRPr="00557371">
        <w:t>“risk on”</w:t>
      </w:r>
      <w:r w:rsidR="00B93D0F">
        <w:t xml:space="preserve"> during this period</w:t>
      </w:r>
      <w:r w:rsidR="007B08FE">
        <w:t>;</w:t>
      </w:r>
      <w:r w:rsidR="00E318A1" w:rsidRPr="00557371">
        <w:t xml:space="preserve"> but they would point to top ratings </w:t>
      </w:r>
      <w:r w:rsidR="00270A80" w:rsidRPr="00557371">
        <w:t xml:space="preserve">that the bonds received </w:t>
      </w:r>
      <w:r w:rsidR="00E318A1" w:rsidRPr="00557371">
        <w:t>from the rating</w:t>
      </w:r>
      <w:r>
        <w:t xml:space="preserve"> agencies.   Rating agencies should</w:t>
      </w:r>
      <w:r w:rsidR="00E318A1" w:rsidRPr="00557371">
        <w:t xml:space="preserve"> bear some b</w:t>
      </w:r>
      <w:r>
        <w:t>lame;</w:t>
      </w:r>
      <w:r w:rsidR="00E318A1" w:rsidRPr="00557371">
        <w:t xml:space="preserve"> but they would point to the readiness of the European Central Bank to accept the </w:t>
      </w:r>
      <w:hyperlink r:id="rId9" w:history="1">
        <w:r w:rsidR="00E318A1" w:rsidRPr="00552270">
          <w:rPr>
            <w:rStyle w:val="Hyperlink"/>
          </w:rPr>
          <w:t>periphery bonds</w:t>
        </w:r>
      </w:hyperlink>
      <w:r w:rsidR="00E318A1" w:rsidRPr="00557371">
        <w:t xml:space="preserve"> as collateral.</w:t>
      </w:r>
      <w:r w:rsidR="000A3EB7">
        <w:t xml:space="preserve">   </w:t>
      </w:r>
      <w:r>
        <w:t xml:space="preserve">In effect, </w:t>
      </w:r>
      <w:r w:rsidR="007B08FE" w:rsidRPr="00557371">
        <w:t>markets must have believed that any countries that got into debt trouble</w:t>
      </w:r>
      <w:r w:rsidR="007B08FE">
        <w:t xml:space="preserve"> would be bailed out</w:t>
      </w:r>
      <w:r w:rsidR="007B08FE" w:rsidRPr="00557371">
        <w:t xml:space="preserve">.  </w:t>
      </w:r>
      <w:r w:rsidR="000A3EB7">
        <w:t>When an American state gets too deeply into debt, its creditors demand higher interest rates.</w:t>
      </w:r>
      <w:r w:rsidR="00C335AD">
        <w:rPr>
          <w:rStyle w:val="FootnoteReference"/>
        </w:rPr>
        <w:footnoteReference w:id="8"/>
      </w:r>
    </w:p>
    <w:p w:rsidR="00DB33A3" w:rsidRPr="00DB33A3" w:rsidRDefault="00C747FB" w:rsidP="00DB33A3">
      <w:pPr>
        <w:pStyle w:val="ListParagraph"/>
        <w:numPr>
          <w:ilvl w:val="0"/>
          <w:numId w:val="2"/>
        </w:numPr>
        <w:shd w:val="clear" w:color="auto" w:fill="FAFAFA"/>
        <w:spacing w:before="240" w:after="240" w:line="240" w:lineRule="auto"/>
        <w:textAlignment w:val="baseline"/>
        <w:rPr>
          <w:rFonts w:asciiTheme="minorHAnsi" w:eastAsia="Times New Roman" w:hAnsiTheme="minorHAnsi" w:cs="Arial"/>
          <w:color w:val="000000"/>
          <w:sz w:val="24"/>
          <w:szCs w:val="24"/>
        </w:rPr>
      </w:pPr>
      <w:r w:rsidRPr="00C747FB">
        <w:rPr>
          <w:rFonts w:asciiTheme="minorHAnsi" w:eastAsia="Times New Roman" w:hAnsiTheme="minorHAnsi" w:cs="Arial"/>
          <w:color w:val="000000"/>
          <w:sz w:val="24"/>
          <w:szCs w:val="24"/>
        </w:rPr>
        <w:t xml:space="preserve">The </w:t>
      </w:r>
      <w:r w:rsidR="007B08FE">
        <w:rPr>
          <w:rFonts w:asciiTheme="minorHAnsi" w:eastAsia="Times New Roman" w:hAnsiTheme="minorHAnsi" w:cs="Arial"/>
          <w:color w:val="000000"/>
          <w:sz w:val="24"/>
          <w:szCs w:val="24"/>
        </w:rPr>
        <w:t>fourth</w:t>
      </w:r>
      <w:r w:rsidRPr="00C747FB">
        <w:rPr>
          <w:rFonts w:asciiTheme="minorHAnsi" w:eastAsia="Times New Roman" w:hAnsiTheme="minorHAnsi" w:cs="Arial"/>
          <w:color w:val="000000"/>
          <w:sz w:val="24"/>
          <w:szCs w:val="24"/>
        </w:rPr>
        <w:t xml:space="preserve"> mistake was the failure to </w:t>
      </w:r>
      <w:hyperlink r:id="rId10" w:history="1">
        <w:r w:rsidRPr="00552270">
          <w:rPr>
            <w:rStyle w:val="Hyperlink"/>
            <w:rFonts w:asciiTheme="minorHAnsi" w:eastAsia="Times New Roman" w:hAnsiTheme="minorHAnsi" w:cs="Arial"/>
            <w:sz w:val="24"/>
            <w:szCs w:val="24"/>
          </w:rPr>
          <w:t>send Greece to the IMF</w:t>
        </w:r>
      </w:hyperlink>
      <w:r w:rsidRPr="00C747FB">
        <w:rPr>
          <w:rFonts w:asciiTheme="minorHAnsi" w:eastAsia="Times New Roman" w:hAnsiTheme="minorHAnsi" w:cs="Arial"/>
          <w:color w:val="000000"/>
          <w:sz w:val="24"/>
          <w:szCs w:val="24"/>
        </w:rPr>
        <w:t xml:space="preserve"> early in the crisis.   </w:t>
      </w:r>
      <w:r w:rsidR="00557371">
        <w:rPr>
          <w:rFonts w:asciiTheme="minorHAnsi" w:eastAsia="Times New Roman" w:hAnsiTheme="minorHAnsi" w:cs="Arial"/>
          <w:color w:val="000000"/>
          <w:sz w:val="24"/>
          <w:szCs w:val="24"/>
        </w:rPr>
        <w:t>In</w:t>
      </w:r>
      <w:r w:rsidRPr="00C747FB">
        <w:rPr>
          <w:rFonts w:asciiTheme="minorHAnsi" w:eastAsia="Times New Roman" w:hAnsiTheme="minorHAnsi" w:cs="Arial"/>
          <w:color w:val="000000"/>
          <w:sz w:val="24"/>
          <w:szCs w:val="24"/>
        </w:rPr>
        <w:t xml:space="preserve"> January 2010 the need </w:t>
      </w:r>
      <w:r w:rsidR="00B93D0F">
        <w:rPr>
          <w:rFonts w:asciiTheme="minorHAnsi" w:eastAsia="Times New Roman" w:hAnsiTheme="minorHAnsi" w:cs="Arial"/>
          <w:color w:val="000000"/>
          <w:sz w:val="24"/>
          <w:szCs w:val="24"/>
        </w:rPr>
        <w:t xml:space="preserve">for the IMF </w:t>
      </w:r>
      <w:r w:rsidRPr="00C747FB">
        <w:rPr>
          <w:rFonts w:asciiTheme="minorHAnsi" w:eastAsia="Times New Roman" w:hAnsiTheme="minorHAnsi" w:cs="Arial"/>
          <w:color w:val="000000"/>
          <w:sz w:val="24"/>
          <w:szCs w:val="24"/>
        </w:rPr>
        <w:t xml:space="preserve">should have been clear. Rather than going into shock, leaders in Frankfurt and Brussels could have welcomed the Greek crisis as a useful opportunity to establish a precedent for </w:t>
      </w:r>
      <w:r w:rsidR="008272D8">
        <w:rPr>
          <w:rFonts w:asciiTheme="minorHAnsi" w:eastAsia="Times New Roman" w:hAnsiTheme="minorHAnsi" w:cs="Arial"/>
          <w:color w:val="000000"/>
          <w:sz w:val="24"/>
          <w:szCs w:val="24"/>
        </w:rPr>
        <w:t>the long-term life of the euro</w:t>
      </w:r>
      <w:r w:rsidRPr="00C747FB">
        <w:rPr>
          <w:rFonts w:asciiTheme="minorHAnsi" w:eastAsia="Times New Roman" w:hAnsiTheme="minorHAnsi" w:cs="Arial"/>
          <w:color w:val="000000"/>
          <w:sz w:val="24"/>
          <w:szCs w:val="24"/>
        </w:rPr>
        <w:t>.</w:t>
      </w:r>
      <w:r w:rsidR="00DB33A3">
        <w:rPr>
          <w:rFonts w:asciiTheme="minorHAnsi" w:eastAsia="Times New Roman" w:hAnsiTheme="minorHAnsi" w:cs="Arial"/>
          <w:color w:val="000000"/>
          <w:sz w:val="24"/>
          <w:szCs w:val="24"/>
        </w:rPr>
        <w:t xml:space="preserve"> </w:t>
      </w:r>
    </w:p>
    <w:p w:rsidR="00DB33A3" w:rsidRPr="00C747FB" w:rsidRDefault="00DB33A3" w:rsidP="00CD6C48">
      <w:pPr>
        <w:shd w:val="clear" w:color="auto" w:fill="FAFAFA"/>
        <w:spacing w:before="240" w:after="240"/>
        <w:ind w:firstLine="720"/>
        <w:textAlignment w:val="baseline"/>
        <w:rPr>
          <w:rFonts w:asciiTheme="minorHAnsi" w:eastAsia="Times New Roman" w:hAnsiTheme="minorHAnsi" w:cs="Arial"/>
          <w:color w:val="000000"/>
        </w:rPr>
      </w:pPr>
      <w:r>
        <w:rPr>
          <w:rFonts w:asciiTheme="minorHAnsi" w:eastAsia="Times New Roman" w:hAnsiTheme="minorHAnsi" w:cs="Arial"/>
          <w:color w:val="000000"/>
        </w:rPr>
        <w:t xml:space="preserve"> </w:t>
      </w:r>
      <w:r w:rsidRPr="00C747FB">
        <w:rPr>
          <w:rFonts w:asciiTheme="minorHAnsi" w:eastAsia="Times New Roman" w:hAnsiTheme="minorHAnsi" w:cs="Arial"/>
          <w:color w:val="000000"/>
        </w:rPr>
        <w:t xml:space="preserve">The idea that such a </w:t>
      </w:r>
      <w:r w:rsidR="00CD6C48">
        <w:rPr>
          <w:rFonts w:asciiTheme="minorHAnsi" w:eastAsia="Times New Roman" w:hAnsiTheme="minorHAnsi" w:cs="Arial"/>
          <w:color w:val="000000"/>
        </w:rPr>
        <w:t xml:space="preserve">debt crisis </w:t>
      </w:r>
      <w:r w:rsidRPr="00C747FB">
        <w:rPr>
          <w:rFonts w:asciiTheme="minorHAnsi" w:eastAsia="Times New Roman" w:hAnsiTheme="minorHAnsi" w:cs="Arial"/>
          <w:color w:val="000000"/>
        </w:rPr>
        <w:t xml:space="preserve">would eventually arise somewhere in the Eurozone cannot have come as a surprise. After all, </w:t>
      </w:r>
      <w:r w:rsidR="00CD6C48">
        <w:rPr>
          <w:rFonts w:asciiTheme="minorHAnsi" w:eastAsia="Times New Roman" w:hAnsiTheme="minorHAnsi" w:cs="Arial"/>
          <w:color w:val="000000"/>
        </w:rPr>
        <w:t xml:space="preserve">that is </w:t>
      </w:r>
      <w:r w:rsidRPr="00C747FB">
        <w:rPr>
          <w:rFonts w:asciiTheme="minorHAnsi" w:eastAsia="Times New Roman" w:hAnsiTheme="minorHAnsi" w:cs="Arial"/>
          <w:color w:val="000000"/>
        </w:rPr>
        <w:t>why had the architects written the Maastricht fiscal criteria</w:t>
      </w:r>
      <w:r w:rsidR="00CD6C48">
        <w:rPr>
          <w:rFonts w:asciiTheme="minorHAnsi" w:eastAsia="Times New Roman" w:hAnsiTheme="minorHAnsi" w:cs="Arial"/>
          <w:color w:val="000000"/>
        </w:rPr>
        <w:t>, the No Bailout Clause,</w:t>
      </w:r>
      <w:r w:rsidRPr="00C747FB">
        <w:rPr>
          <w:rFonts w:asciiTheme="minorHAnsi" w:eastAsia="Times New Roman" w:hAnsiTheme="minorHAnsi" w:cs="Arial"/>
          <w:color w:val="000000"/>
        </w:rPr>
        <w:t xml:space="preserve"> and the </w:t>
      </w:r>
      <w:r w:rsidR="00CD6C48">
        <w:rPr>
          <w:rFonts w:asciiTheme="minorHAnsi" w:eastAsia="Times New Roman" w:hAnsiTheme="minorHAnsi" w:cs="Arial"/>
          <w:color w:val="000000"/>
        </w:rPr>
        <w:t>Stability and Growth Pact</w:t>
      </w:r>
      <w:r w:rsidRPr="00C747FB">
        <w:rPr>
          <w:rFonts w:asciiTheme="minorHAnsi" w:eastAsia="Times New Roman" w:hAnsiTheme="minorHAnsi" w:cs="Arial"/>
          <w:color w:val="000000"/>
        </w:rPr>
        <w:t xml:space="preserve">? </w:t>
      </w:r>
      <w:r>
        <w:rPr>
          <w:rFonts w:asciiTheme="minorHAnsi" w:eastAsia="Times New Roman" w:hAnsiTheme="minorHAnsi" w:cs="Arial"/>
          <w:color w:val="000000"/>
        </w:rPr>
        <w:t xml:space="preserve">  </w:t>
      </w:r>
      <w:r w:rsidRPr="00C747FB">
        <w:rPr>
          <w:rFonts w:asciiTheme="minorHAnsi" w:eastAsia="Times New Roman" w:hAnsiTheme="minorHAnsi" w:cs="Arial"/>
          <w:color w:val="000000"/>
        </w:rPr>
        <w:t>When the rules failed and the crisis came, the leaders should have thanked their lucky stars that the first test case had arisen in a country that met two characteristics admirably.</w:t>
      </w:r>
      <w:r w:rsidR="003865CC">
        <w:rPr>
          <w:rFonts w:asciiTheme="minorHAnsi" w:eastAsia="Times New Roman" w:hAnsiTheme="minorHAnsi" w:cs="Arial"/>
          <w:color w:val="000000"/>
        </w:rPr>
        <w:t xml:space="preserve">  </w:t>
      </w:r>
      <w:r w:rsidR="00772492">
        <w:rPr>
          <w:rFonts w:asciiTheme="minorHAnsi" w:eastAsia="Times New Roman" w:hAnsiTheme="minorHAnsi" w:cs="Arial"/>
          <w:color w:val="000000"/>
        </w:rPr>
        <w:t xml:space="preserve"> </w:t>
      </w:r>
      <w:r w:rsidRPr="00C747FB">
        <w:rPr>
          <w:rFonts w:asciiTheme="minorHAnsi" w:eastAsia="Times New Roman" w:hAnsiTheme="minorHAnsi" w:cs="Arial"/>
          <w:color w:val="000000"/>
        </w:rPr>
        <w:t xml:space="preserve">First, the Greek government </w:t>
      </w:r>
      <w:r w:rsidRPr="00C747FB">
        <w:rPr>
          <w:rFonts w:asciiTheme="minorHAnsi" w:eastAsia="Times New Roman" w:hAnsiTheme="minorHAnsi" w:cs="Arial"/>
          <w:color w:val="000000"/>
        </w:rPr>
        <w:lastRenderedPageBreak/>
        <w:t>had broken the rules so egregiously and so frequently that Europe’s le</w:t>
      </w:r>
      <w:bookmarkStart w:id="0" w:name="_GoBack"/>
      <w:bookmarkEnd w:id="0"/>
      <w:r w:rsidRPr="00C747FB">
        <w:rPr>
          <w:rFonts w:asciiTheme="minorHAnsi" w:eastAsia="Times New Roman" w:hAnsiTheme="minorHAnsi" w:cs="Arial"/>
          <w:color w:val="000000"/>
        </w:rPr>
        <w:t>aders could, with a clear conscience, judge a firm stand to be merited.</w:t>
      </w:r>
      <w:r w:rsidR="00772492">
        <w:rPr>
          <w:rFonts w:asciiTheme="minorHAnsi" w:eastAsia="Times New Roman" w:hAnsiTheme="minorHAnsi" w:cs="Arial"/>
          <w:color w:val="000000"/>
        </w:rPr>
        <w:t xml:space="preserve">   </w:t>
      </w:r>
      <w:r>
        <w:rPr>
          <w:rFonts w:asciiTheme="minorHAnsi" w:eastAsia="Times New Roman" w:hAnsiTheme="minorHAnsi" w:cs="Arial"/>
          <w:color w:val="000000"/>
        </w:rPr>
        <w:t xml:space="preserve">The </w:t>
      </w:r>
      <w:r w:rsidRPr="00C747FB">
        <w:rPr>
          <w:rFonts w:asciiTheme="minorHAnsi" w:eastAsia="Times New Roman" w:hAnsiTheme="minorHAnsi" w:cs="Arial"/>
          <w:color w:val="000000"/>
        </w:rPr>
        <w:t>alternative was to risk esta</w:t>
      </w:r>
      <w:r>
        <w:rPr>
          <w:rFonts w:asciiTheme="minorHAnsi" w:eastAsia="Times New Roman" w:hAnsiTheme="minorHAnsi" w:cs="Arial"/>
          <w:color w:val="000000"/>
        </w:rPr>
        <w:t xml:space="preserve">blishing the precedent that </w:t>
      </w:r>
      <w:r w:rsidR="00CD6C48">
        <w:rPr>
          <w:rFonts w:asciiTheme="minorHAnsi" w:eastAsia="Times New Roman" w:hAnsiTheme="minorHAnsi" w:cs="Arial"/>
          <w:color w:val="000000"/>
        </w:rPr>
        <w:t xml:space="preserve">all </w:t>
      </w:r>
      <w:r w:rsidRPr="00C747FB">
        <w:rPr>
          <w:rFonts w:asciiTheme="minorHAnsi" w:eastAsia="Times New Roman" w:hAnsiTheme="minorHAnsi" w:cs="Arial"/>
          <w:color w:val="000000"/>
        </w:rPr>
        <w:t>governments are ultimate</w:t>
      </w:r>
      <w:r>
        <w:rPr>
          <w:rFonts w:asciiTheme="minorHAnsi" w:eastAsia="Times New Roman" w:hAnsiTheme="minorHAnsi" w:cs="Arial"/>
          <w:color w:val="000000"/>
        </w:rPr>
        <w:t>ly to be bailed out</w:t>
      </w:r>
      <w:r w:rsidRPr="00C747FB">
        <w:rPr>
          <w:rFonts w:asciiTheme="minorHAnsi" w:eastAsia="Times New Roman" w:hAnsiTheme="minorHAnsi" w:cs="Arial"/>
          <w:color w:val="000000"/>
        </w:rPr>
        <w:t>, with all the moral hazard headaches that precedent implies.</w:t>
      </w:r>
      <w:r w:rsidR="00CD6C48" w:rsidRPr="00CD6C48">
        <w:rPr>
          <w:rStyle w:val="FootnoteReference"/>
          <w:rFonts w:asciiTheme="minorHAnsi" w:eastAsia="Times New Roman" w:hAnsiTheme="minorHAnsi" w:cs="Arial"/>
          <w:color w:val="000000"/>
        </w:rPr>
        <w:t xml:space="preserve"> </w:t>
      </w:r>
      <w:r w:rsidR="00CD6C48">
        <w:rPr>
          <w:rStyle w:val="FootnoteReference"/>
          <w:rFonts w:asciiTheme="minorHAnsi" w:eastAsia="Times New Roman" w:hAnsiTheme="minorHAnsi" w:cs="Arial"/>
          <w:color w:val="000000"/>
        </w:rPr>
        <w:footnoteReference w:id="9"/>
      </w:r>
      <w:r w:rsidR="00CD6C48">
        <w:rPr>
          <w:rFonts w:asciiTheme="minorHAnsi" w:eastAsia="Times New Roman" w:hAnsiTheme="minorHAnsi" w:cs="Arial"/>
          <w:color w:val="000000"/>
        </w:rPr>
        <w:t xml:space="preserve"> </w:t>
      </w:r>
      <w:r w:rsidR="00772492">
        <w:rPr>
          <w:rFonts w:asciiTheme="minorHAnsi" w:eastAsia="Times New Roman" w:hAnsiTheme="minorHAnsi" w:cs="Arial"/>
          <w:color w:val="000000"/>
        </w:rPr>
        <w:t xml:space="preserve"> </w:t>
      </w:r>
      <w:r w:rsidRPr="00C747FB">
        <w:rPr>
          <w:rFonts w:asciiTheme="minorHAnsi" w:eastAsia="Times New Roman" w:hAnsiTheme="minorHAnsi" w:cs="Arial"/>
          <w:color w:val="000000"/>
        </w:rPr>
        <w:t>Second, the Greek economy was small enough to make it feasible for Europe to come up with the funds necessary to insulate others, who were vulnerable to contagion but not as blameworthy, for example Ireland.</w:t>
      </w:r>
    </w:p>
    <w:p w:rsidR="00DB33A3" w:rsidRPr="00C747FB" w:rsidRDefault="00DB33A3" w:rsidP="00CD6C48">
      <w:pPr>
        <w:shd w:val="clear" w:color="auto" w:fill="FAFAFA"/>
        <w:spacing w:before="240" w:after="240"/>
        <w:ind w:firstLine="240"/>
        <w:textAlignment w:val="baseline"/>
        <w:rPr>
          <w:rFonts w:asciiTheme="minorHAnsi" w:eastAsia="Times New Roman" w:hAnsiTheme="minorHAnsi" w:cs="Arial"/>
          <w:color w:val="000000"/>
        </w:rPr>
      </w:pPr>
      <w:r w:rsidRPr="00C747FB">
        <w:rPr>
          <w:rFonts w:asciiTheme="minorHAnsi" w:eastAsia="Times New Roman" w:hAnsiTheme="minorHAnsi" w:cs="Arial"/>
          <w:color w:val="000000"/>
        </w:rPr>
        <w:t>European leaders also should have thanked</w:t>
      </w:r>
      <w:r w:rsidR="00CD6C48">
        <w:rPr>
          <w:rFonts w:asciiTheme="minorHAnsi" w:eastAsia="Times New Roman" w:hAnsiTheme="minorHAnsi" w:cs="Arial"/>
          <w:color w:val="000000"/>
        </w:rPr>
        <w:t xml:space="preserve"> their stars that the IMF existed</w:t>
      </w:r>
      <w:r w:rsidRPr="00C747FB">
        <w:rPr>
          <w:rFonts w:asciiTheme="minorHAnsi" w:eastAsia="Times New Roman" w:hAnsiTheme="minorHAnsi" w:cs="Arial"/>
          <w:color w:val="000000"/>
        </w:rPr>
        <w:t xml:space="preserve">. Instead of acting as if such a crisis had never been seen before, they should have realised that imposing policy conditionality in rescue loan packages is precisely the IMF’s job. International politics is less likely to prevent the IMF from enforcing painful fiscal retrenchment and other difficult conditions than it is among regional neighbours or other political allies. Europe is no different in this respect than Latin America or Asia. </w:t>
      </w:r>
    </w:p>
    <w:p w:rsidR="00DB33A3" w:rsidRPr="00121DCA" w:rsidRDefault="00DB33A3" w:rsidP="00DB33A3">
      <w:pPr>
        <w:shd w:val="clear" w:color="auto" w:fill="FAFAFA"/>
        <w:spacing w:before="240" w:after="240"/>
        <w:ind w:firstLine="240"/>
        <w:textAlignment w:val="baseline"/>
      </w:pPr>
      <w:r w:rsidRPr="00C747FB">
        <w:rPr>
          <w:rFonts w:asciiTheme="minorHAnsi" w:eastAsia="Times New Roman" w:hAnsiTheme="minorHAnsi" w:cs="Arial"/>
          <w:color w:val="000000"/>
        </w:rPr>
        <w:t xml:space="preserve">But the reaction of leaders in both Frankfurt and Brussels was that going to the IMF was unthinkable, that this was a problem to be settled within Europe. They chose to play for time instead, to treat insolvency as illiquidity. </w:t>
      </w:r>
      <w:r>
        <w:rPr>
          <w:rFonts w:asciiTheme="minorHAnsi" w:eastAsia="Times New Roman" w:hAnsiTheme="minorHAnsi" w:cs="Arial"/>
          <w:color w:val="000000"/>
        </w:rPr>
        <w:t xml:space="preserve">  Their argument was that </w:t>
      </w:r>
      <w:r w:rsidR="00984D32">
        <w:rPr>
          <w:rFonts w:asciiTheme="minorHAnsi" w:eastAsia="Times New Roman" w:hAnsiTheme="minorHAnsi" w:cs="Arial"/>
          <w:color w:val="000000"/>
        </w:rPr>
        <w:t>such steps</w:t>
      </w:r>
      <w:r>
        <w:rPr>
          <w:rFonts w:asciiTheme="minorHAnsi" w:eastAsia="Times New Roman" w:hAnsiTheme="minorHAnsi" w:cs="Arial"/>
          <w:color w:val="000000"/>
        </w:rPr>
        <w:t xml:space="preserve"> would result in contagion to Ireland, Portugal, Spain and others.  But they subsequently got the contagion </w:t>
      </w:r>
      <w:r w:rsidR="00984D32">
        <w:rPr>
          <w:rFonts w:asciiTheme="minorHAnsi" w:eastAsia="Times New Roman" w:hAnsiTheme="minorHAnsi" w:cs="Arial"/>
          <w:color w:val="000000"/>
        </w:rPr>
        <w:t xml:space="preserve">that they feared </w:t>
      </w:r>
      <w:r w:rsidR="00CD6C48">
        <w:rPr>
          <w:rFonts w:asciiTheme="minorHAnsi" w:eastAsia="Times New Roman" w:hAnsiTheme="minorHAnsi" w:cs="Arial"/>
          <w:color w:val="000000"/>
        </w:rPr>
        <w:t>anyway.  The contagion</w:t>
      </w:r>
      <w:r>
        <w:rPr>
          <w:rFonts w:asciiTheme="minorHAnsi" w:eastAsia="Times New Roman" w:hAnsiTheme="minorHAnsi" w:cs="Arial"/>
          <w:color w:val="000000"/>
        </w:rPr>
        <w:t xml:space="preserve"> only became harder to f</w:t>
      </w:r>
      <w:r w:rsidR="00CD6C48">
        <w:rPr>
          <w:rFonts w:asciiTheme="minorHAnsi" w:eastAsia="Times New Roman" w:hAnsiTheme="minorHAnsi" w:cs="Arial"/>
          <w:color w:val="000000"/>
        </w:rPr>
        <w:t>ight, when leaders’ statements</w:t>
      </w:r>
      <w:r>
        <w:rPr>
          <w:rFonts w:asciiTheme="minorHAnsi" w:eastAsia="Times New Roman" w:hAnsiTheme="minorHAnsi" w:cs="Arial"/>
          <w:color w:val="000000"/>
        </w:rPr>
        <w:t xml:space="preserve"> </w:t>
      </w:r>
      <w:r w:rsidR="00CD6C48">
        <w:rPr>
          <w:rFonts w:asciiTheme="minorHAnsi" w:eastAsia="Times New Roman" w:hAnsiTheme="minorHAnsi" w:cs="Arial"/>
          <w:color w:val="000000"/>
        </w:rPr>
        <w:t xml:space="preserve">had </w:t>
      </w:r>
      <w:r>
        <w:rPr>
          <w:rFonts w:asciiTheme="minorHAnsi" w:eastAsia="Times New Roman" w:hAnsiTheme="minorHAnsi" w:cs="Arial"/>
          <w:color w:val="000000"/>
        </w:rPr>
        <w:t>lost credibility</w:t>
      </w:r>
      <w:r w:rsidR="00CD6C48">
        <w:rPr>
          <w:rFonts w:asciiTheme="minorHAnsi" w:eastAsia="Times New Roman" w:hAnsiTheme="minorHAnsi" w:cs="Arial"/>
          <w:color w:val="000000"/>
        </w:rPr>
        <w:t xml:space="preserve"> and the spreads on </w:t>
      </w:r>
      <w:r>
        <w:rPr>
          <w:rFonts w:asciiTheme="minorHAnsi" w:eastAsia="Times New Roman" w:hAnsiTheme="minorHAnsi" w:cs="Arial"/>
          <w:color w:val="000000"/>
        </w:rPr>
        <w:t xml:space="preserve">these countries shot up to levels </w:t>
      </w:r>
      <w:r w:rsidR="00CD6C48">
        <w:rPr>
          <w:rFonts w:asciiTheme="minorHAnsi" w:eastAsia="Times New Roman" w:hAnsiTheme="minorHAnsi" w:cs="Arial"/>
          <w:color w:val="000000"/>
        </w:rPr>
        <w:t>so high as to make the arithmetic of debt dynamics impossible.</w:t>
      </w:r>
      <w:r>
        <w:rPr>
          <w:rFonts w:asciiTheme="minorHAnsi" w:eastAsia="Times New Roman" w:hAnsiTheme="minorHAnsi" w:cs="Arial"/>
          <w:color w:val="000000"/>
        </w:rPr>
        <w:t xml:space="preserve">  What started as a small “Greece fire” became harder to contain after it jumped the natural firebreak and spread to other parts of the forest.</w:t>
      </w:r>
    </w:p>
    <w:p w:rsidR="00557371" w:rsidRDefault="00557371" w:rsidP="00557371">
      <w:pPr>
        <w:pStyle w:val="ListParagraph"/>
        <w:numPr>
          <w:ilvl w:val="0"/>
          <w:numId w:val="2"/>
        </w:numPr>
        <w:shd w:val="clear" w:color="auto" w:fill="FAFAFA"/>
        <w:tabs>
          <w:tab w:val="left" w:pos="90"/>
        </w:tabs>
        <w:spacing w:before="240" w:after="240" w:line="240" w:lineRule="auto"/>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The f</w:t>
      </w:r>
      <w:r w:rsidR="007B08FE">
        <w:rPr>
          <w:rFonts w:asciiTheme="minorHAnsi" w:eastAsia="Times New Roman" w:hAnsiTheme="minorHAnsi" w:cs="Arial"/>
          <w:color w:val="000000"/>
          <w:sz w:val="24"/>
          <w:szCs w:val="24"/>
        </w:rPr>
        <w:t>ift</w:t>
      </w:r>
      <w:r>
        <w:rPr>
          <w:rFonts w:asciiTheme="minorHAnsi" w:eastAsia="Times New Roman" w:hAnsiTheme="minorHAnsi" w:cs="Arial"/>
          <w:color w:val="000000"/>
          <w:sz w:val="24"/>
          <w:szCs w:val="24"/>
        </w:rPr>
        <w:t>h mistake was the failure to write down more of the</w:t>
      </w:r>
      <w:r w:rsidRPr="00C747FB">
        <w:rPr>
          <w:rFonts w:asciiTheme="minorHAnsi" w:eastAsia="Times New Roman" w:hAnsiTheme="minorHAnsi" w:cs="Arial"/>
          <w:color w:val="000000"/>
          <w:sz w:val="24"/>
          <w:szCs w:val="24"/>
        </w:rPr>
        <w:t xml:space="preserve"> debt </w:t>
      </w:r>
      <w:r>
        <w:rPr>
          <w:rFonts w:asciiTheme="minorHAnsi" w:eastAsia="Times New Roman" w:hAnsiTheme="minorHAnsi" w:cs="Arial"/>
          <w:color w:val="000000"/>
          <w:sz w:val="24"/>
          <w:szCs w:val="24"/>
        </w:rPr>
        <w:t xml:space="preserve">and </w:t>
      </w:r>
      <w:r w:rsidR="00CD6C48">
        <w:rPr>
          <w:rFonts w:asciiTheme="minorHAnsi" w:eastAsia="Times New Roman" w:hAnsiTheme="minorHAnsi" w:cs="Arial"/>
          <w:color w:val="000000"/>
          <w:sz w:val="24"/>
          <w:szCs w:val="24"/>
        </w:rPr>
        <w:t xml:space="preserve">to do it </w:t>
      </w:r>
      <w:r>
        <w:rPr>
          <w:rFonts w:asciiTheme="minorHAnsi" w:eastAsia="Times New Roman" w:hAnsiTheme="minorHAnsi" w:cs="Arial"/>
          <w:color w:val="000000"/>
          <w:sz w:val="24"/>
          <w:szCs w:val="24"/>
        </w:rPr>
        <w:t xml:space="preserve">earlier, </w:t>
      </w:r>
      <w:r w:rsidRPr="00C747FB">
        <w:rPr>
          <w:rFonts w:asciiTheme="minorHAnsi" w:eastAsia="Times New Roman" w:hAnsiTheme="minorHAnsi" w:cs="Arial"/>
          <w:color w:val="000000"/>
          <w:sz w:val="24"/>
          <w:szCs w:val="24"/>
        </w:rPr>
        <w:t>at a time when most of the debt was still held by private creditors</w:t>
      </w:r>
      <w:r>
        <w:rPr>
          <w:rFonts w:asciiTheme="minorHAnsi" w:eastAsia="Times New Roman" w:hAnsiTheme="minorHAnsi" w:cs="Arial"/>
          <w:color w:val="000000"/>
          <w:sz w:val="24"/>
          <w:szCs w:val="24"/>
        </w:rPr>
        <w:t>.</w:t>
      </w:r>
      <w:r w:rsidR="00CD6C48">
        <w:rPr>
          <w:rFonts w:asciiTheme="minorHAnsi" w:eastAsia="Times New Roman" w:hAnsiTheme="minorHAnsi" w:cs="Arial"/>
          <w:color w:val="000000"/>
          <w:sz w:val="24"/>
          <w:szCs w:val="24"/>
        </w:rPr>
        <w:t xml:space="preserve"> </w:t>
      </w:r>
      <w:r w:rsidR="00CD6C48" w:rsidRPr="00CD6C48">
        <w:rPr>
          <w:rFonts w:asciiTheme="minorHAnsi" w:eastAsia="Times New Roman" w:hAnsiTheme="minorHAnsi" w:cs="Arial"/>
          <w:color w:val="000000"/>
          <w:sz w:val="24"/>
          <w:szCs w:val="24"/>
        </w:rPr>
        <w:t xml:space="preserve">  They could usefully have taken a “haircut,” </w:t>
      </w:r>
      <w:r w:rsidR="00F21541">
        <w:rPr>
          <w:rFonts w:asciiTheme="minorHAnsi" w:eastAsia="Times New Roman" w:hAnsiTheme="minorHAnsi" w:cs="Arial"/>
          <w:color w:val="000000"/>
          <w:sz w:val="24"/>
          <w:szCs w:val="24"/>
        </w:rPr>
        <w:t>which is harder for</w:t>
      </w:r>
      <w:r w:rsidR="00CD6C48" w:rsidRPr="00CD6C48">
        <w:rPr>
          <w:rFonts w:asciiTheme="minorHAnsi" w:eastAsia="Times New Roman" w:hAnsiTheme="minorHAnsi" w:cs="Arial"/>
          <w:color w:val="000000"/>
          <w:sz w:val="24"/>
          <w:szCs w:val="24"/>
        </w:rPr>
        <w:t xml:space="preserve"> public sector creditors </w:t>
      </w:r>
      <w:r w:rsidR="00CD6C48">
        <w:rPr>
          <w:rFonts w:asciiTheme="minorHAnsi" w:eastAsia="Times New Roman" w:hAnsiTheme="minorHAnsi" w:cs="Arial"/>
          <w:color w:val="000000"/>
          <w:sz w:val="24"/>
          <w:szCs w:val="24"/>
        </w:rPr>
        <w:t>(particularly the IMF, ECB, ESFS and ESM)</w:t>
      </w:r>
      <w:r w:rsidR="00CD6C48" w:rsidRPr="00CD6C48">
        <w:rPr>
          <w:rFonts w:asciiTheme="minorHAnsi" w:eastAsia="Times New Roman" w:hAnsiTheme="minorHAnsi" w:cs="Arial"/>
          <w:color w:val="000000"/>
          <w:sz w:val="24"/>
          <w:szCs w:val="24"/>
        </w:rPr>
        <w:t>.</w:t>
      </w:r>
      <w:r w:rsidR="00CD6C48">
        <w:rPr>
          <w:rFonts w:asciiTheme="minorHAnsi" w:eastAsia="Times New Roman" w:hAnsiTheme="minorHAnsi" w:cs="Arial"/>
          <w:color w:val="000000"/>
        </w:rPr>
        <w:t xml:space="preserve"> </w:t>
      </w:r>
      <w:r>
        <w:rPr>
          <w:rFonts w:asciiTheme="minorHAnsi" w:eastAsia="Times New Roman" w:hAnsiTheme="minorHAnsi" w:cs="Arial"/>
          <w:color w:val="000000"/>
          <w:sz w:val="24"/>
          <w:szCs w:val="24"/>
        </w:rPr>
        <w:t xml:space="preserve">  But again</w:t>
      </w:r>
      <w:r w:rsidRPr="00557371">
        <w:rPr>
          <w:rFonts w:asciiTheme="minorHAnsi" w:eastAsia="Times New Roman" w:hAnsiTheme="minorHAnsi" w:cs="Arial"/>
          <w:color w:val="000000"/>
          <w:sz w:val="24"/>
          <w:szCs w:val="24"/>
        </w:rPr>
        <w:t xml:space="preserve">, leaders in both Frankfurt and Brussels insisted </w:t>
      </w:r>
      <w:r w:rsidR="00CD6C48">
        <w:rPr>
          <w:rFonts w:asciiTheme="minorHAnsi" w:eastAsia="Times New Roman" w:hAnsiTheme="minorHAnsi" w:cs="Arial"/>
          <w:color w:val="000000"/>
          <w:sz w:val="24"/>
          <w:szCs w:val="24"/>
        </w:rPr>
        <w:t xml:space="preserve">in 2010 and 2011 </w:t>
      </w:r>
      <w:r w:rsidRPr="00557371">
        <w:rPr>
          <w:rFonts w:asciiTheme="minorHAnsi" w:eastAsia="Times New Roman" w:hAnsiTheme="minorHAnsi" w:cs="Arial"/>
          <w:color w:val="000000"/>
          <w:sz w:val="24"/>
          <w:szCs w:val="24"/>
        </w:rPr>
        <w:t>that writing down the debt was unthinkable.</w:t>
      </w:r>
    </w:p>
    <w:p w:rsidR="00557371" w:rsidRDefault="00557371" w:rsidP="00557371">
      <w:pPr>
        <w:pStyle w:val="ListParagraph"/>
        <w:shd w:val="clear" w:color="auto" w:fill="FAFAFA"/>
        <w:spacing w:before="240" w:after="240" w:line="240" w:lineRule="auto"/>
        <w:textAlignment w:val="baseline"/>
        <w:rPr>
          <w:rFonts w:asciiTheme="minorHAnsi" w:eastAsia="Times New Roman" w:hAnsiTheme="minorHAnsi" w:cs="Arial"/>
          <w:color w:val="000000"/>
          <w:sz w:val="24"/>
          <w:szCs w:val="24"/>
        </w:rPr>
      </w:pPr>
    </w:p>
    <w:p w:rsidR="00DB33A3" w:rsidRDefault="009E0193" w:rsidP="00DB33A3">
      <w:pPr>
        <w:pStyle w:val="ListParagraph"/>
        <w:numPr>
          <w:ilvl w:val="0"/>
          <w:numId w:val="2"/>
        </w:numPr>
        <w:shd w:val="clear" w:color="auto" w:fill="FAFAFA"/>
        <w:spacing w:before="240" w:after="240" w:line="240" w:lineRule="auto"/>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The six</w:t>
      </w:r>
      <w:r w:rsidR="00557371">
        <w:rPr>
          <w:rFonts w:asciiTheme="minorHAnsi" w:eastAsia="Times New Roman" w:hAnsiTheme="minorHAnsi" w:cs="Arial"/>
          <w:color w:val="000000"/>
          <w:sz w:val="24"/>
          <w:szCs w:val="24"/>
        </w:rPr>
        <w:t>th</w:t>
      </w:r>
      <w:r w:rsidR="00DB33A3">
        <w:rPr>
          <w:rFonts w:asciiTheme="minorHAnsi" w:eastAsia="Times New Roman" w:hAnsiTheme="minorHAnsi" w:cs="Arial"/>
          <w:color w:val="000000"/>
          <w:sz w:val="24"/>
          <w:szCs w:val="24"/>
        </w:rPr>
        <w:t xml:space="preserve"> mistake is the stubborn belief that fiscal austerity is </w:t>
      </w:r>
      <w:r w:rsidR="00CD6C48">
        <w:rPr>
          <w:rFonts w:asciiTheme="minorHAnsi" w:eastAsia="Times New Roman" w:hAnsiTheme="minorHAnsi" w:cs="Arial"/>
          <w:color w:val="000000"/>
          <w:sz w:val="24"/>
          <w:szCs w:val="24"/>
        </w:rPr>
        <w:t xml:space="preserve">not </w:t>
      </w:r>
      <w:r w:rsidR="00DB33A3">
        <w:rPr>
          <w:rFonts w:asciiTheme="minorHAnsi" w:eastAsia="Times New Roman" w:hAnsiTheme="minorHAnsi" w:cs="Arial"/>
          <w:color w:val="000000"/>
          <w:sz w:val="24"/>
          <w:szCs w:val="24"/>
        </w:rPr>
        <w:t>contractionary</w:t>
      </w:r>
      <w:r w:rsidR="004555DD">
        <w:rPr>
          <w:rFonts w:asciiTheme="minorHAnsi" w:eastAsia="Times New Roman" w:hAnsiTheme="minorHAnsi" w:cs="Arial"/>
          <w:color w:val="000000"/>
          <w:sz w:val="24"/>
          <w:szCs w:val="24"/>
        </w:rPr>
        <w:t>, even</w:t>
      </w:r>
      <w:r w:rsidR="00DB33A3">
        <w:rPr>
          <w:rFonts w:asciiTheme="minorHAnsi" w:eastAsia="Times New Roman" w:hAnsiTheme="minorHAnsi" w:cs="Arial"/>
          <w:color w:val="000000"/>
          <w:sz w:val="24"/>
          <w:szCs w:val="24"/>
        </w:rPr>
        <w:t xml:space="preserve"> in the short run</w:t>
      </w:r>
      <w:r w:rsidR="004555DD">
        <w:rPr>
          <w:rFonts w:asciiTheme="minorHAnsi" w:eastAsia="Times New Roman" w:hAnsiTheme="minorHAnsi" w:cs="Arial"/>
          <w:color w:val="000000"/>
          <w:sz w:val="24"/>
          <w:szCs w:val="24"/>
        </w:rPr>
        <w:t xml:space="preserve">.  Some even insisted </w:t>
      </w:r>
      <w:r w:rsidR="00DB33A3">
        <w:rPr>
          <w:rFonts w:asciiTheme="minorHAnsi" w:eastAsia="Times New Roman" w:hAnsiTheme="minorHAnsi" w:cs="Arial"/>
          <w:color w:val="000000"/>
          <w:sz w:val="24"/>
          <w:szCs w:val="24"/>
        </w:rPr>
        <w:t xml:space="preserve">that it can raise GDP and lower debt/GDP ratios.  The mistake was made especially by many in Germany and other creditor countries.  The International Monetary Fund was forced to go along with over-optimistic forecasts of </w:t>
      </w:r>
      <w:r w:rsidR="004555DD">
        <w:rPr>
          <w:rFonts w:asciiTheme="minorHAnsi" w:eastAsia="Times New Roman" w:hAnsiTheme="minorHAnsi" w:cs="Arial"/>
          <w:color w:val="000000"/>
          <w:sz w:val="24"/>
          <w:szCs w:val="24"/>
        </w:rPr>
        <w:t xml:space="preserve">its programs’ </w:t>
      </w:r>
      <w:r w:rsidR="00DB33A3">
        <w:rPr>
          <w:rFonts w:asciiTheme="minorHAnsi" w:eastAsia="Times New Roman" w:hAnsiTheme="minorHAnsi" w:cs="Arial"/>
          <w:color w:val="000000"/>
          <w:sz w:val="24"/>
          <w:szCs w:val="24"/>
        </w:rPr>
        <w:t xml:space="preserve">effects on growth, because its rules specified that it was not allowed to participate in the country programs unless it could forecast that they would lead to a return to debt sustainability in the form of declining ratios of debt to GDP.   In the event the fiscal austerity – coming as it did at the wrong time – worsened the recessions in Greece and other periphery countries. </w:t>
      </w:r>
      <w:r w:rsidR="00772492">
        <w:rPr>
          <w:rFonts w:asciiTheme="minorHAnsi" w:eastAsia="Times New Roman" w:hAnsiTheme="minorHAnsi" w:cs="Arial"/>
          <w:color w:val="000000"/>
          <w:sz w:val="24"/>
          <w:szCs w:val="24"/>
        </w:rPr>
        <w:t xml:space="preserve"> </w:t>
      </w:r>
      <w:r w:rsidR="001109F0">
        <w:rPr>
          <w:rFonts w:asciiTheme="minorHAnsi" w:eastAsia="Times New Roman" w:hAnsiTheme="minorHAnsi" w:cs="Arial"/>
          <w:color w:val="000000"/>
          <w:sz w:val="24"/>
          <w:szCs w:val="24"/>
        </w:rPr>
        <w:t xml:space="preserve">As a result, debt/GDP ratios, far from coming down, rose at an accelerated rate. </w:t>
      </w:r>
      <w:r w:rsidR="00772492">
        <w:rPr>
          <w:rFonts w:asciiTheme="minorHAnsi" w:eastAsia="Times New Roman" w:hAnsiTheme="minorHAnsi" w:cs="Arial"/>
          <w:color w:val="000000"/>
          <w:sz w:val="24"/>
          <w:szCs w:val="24"/>
        </w:rPr>
        <w:t xml:space="preserve"> A simple Keynesian </w:t>
      </w:r>
      <w:r w:rsidR="00186D33">
        <w:rPr>
          <w:rFonts w:asciiTheme="minorHAnsi" w:eastAsia="Times New Roman" w:hAnsiTheme="minorHAnsi" w:cs="Arial"/>
          <w:color w:val="000000"/>
          <w:sz w:val="24"/>
          <w:szCs w:val="24"/>
        </w:rPr>
        <w:t>multiplier</w:t>
      </w:r>
      <w:r w:rsidR="00772492">
        <w:rPr>
          <w:rFonts w:asciiTheme="minorHAnsi" w:eastAsia="Times New Roman" w:hAnsiTheme="minorHAnsi" w:cs="Arial"/>
          <w:color w:val="000000"/>
          <w:sz w:val="24"/>
          <w:szCs w:val="24"/>
        </w:rPr>
        <w:t xml:space="preserve"> model would have given better predictions.</w:t>
      </w:r>
      <w:r w:rsidR="00772492">
        <w:rPr>
          <w:rStyle w:val="FootnoteReference"/>
          <w:rFonts w:asciiTheme="minorHAnsi" w:eastAsia="Times New Roman" w:hAnsiTheme="minorHAnsi" w:cs="Arial"/>
          <w:color w:val="000000"/>
          <w:sz w:val="24"/>
          <w:szCs w:val="24"/>
        </w:rPr>
        <w:footnoteReference w:id="10"/>
      </w:r>
      <w:r w:rsidR="00772492">
        <w:rPr>
          <w:rFonts w:asciiTheme="minorHAnsi" w:eastAsia="Times New Roman" w:hAnsiTheme="minorHAnsi" w:cs="Arial"/>
          <w:color w:val="000000"/>
          <w:sz w:val="24"/>
          <w:szCs w:val="24"/>
        </w:rPr>
        <w:t xml:space="preserve">  </w:t>
      </w:r>
    </w:p>
    <w:p w:rsidR="00DB33A3" w:rsidRDefault="00DB33A3" w:rsidP="00772492">
      <w:pPr>
        <w:pStyle w:val="ListParagraph"/>
        <w:shd w:val="clear" w:color="auto" w:fill="FAFAFA"/>
        <w:spacing w:before="240" w:after="240" w:line="240" w:lineRule="auto"/>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lastRenderedPageBreak/>
        <w:t xml:space="preserve"> </w:t>
      </w:r>
    </w:p>
    <w:p w:rsidR="000B0F09" w:rsidRPr="000B0F09" w:rsidRDefault="00772492" w:rsidP="000B0F09">
      <w:pPr>
        <w:pStyle w:val="ListParagraph"/>
        <w:numPr>
          <w:ilvl w:val="0"/>
          <w:numId w:val="2"/>
        </w:numPr>
        <w:shd w:val="clear" w:color="auto" w:fill="FAFAFA"/>
        <w:spacing w:before="240" w:after="240" w:line="240" w:lineRule="auto"/>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 Needless to say, the Greeks made plenty of mistakes too.   Let us pick up the story from when the Syriza government came to power in January 2015.</w:t>
      </w:r>
    </w:p>
    <w:p w:rsidR="000B0F09" w:rsidRDefault="000B0F09" w:rsidP="000B0F09">
      <w:pPr>
        <w:ind w:firstLine="720"/>
      </w:pPr>
      <w:r>
        <w:t>The new Greek Prime Minister, Alexis Tsipras, had the chance to</w:t>
      </w:r>
      <w:r w:rsidRPr="00071B71">
        <w:t xml:space="preserve"> play a role </w:t>
      </w:r>
      <w:r>
        <w:t xml:space="preserve">for his country </w:t>
      </w:r>
      <w:r w:rsidRPr="00071B71">
        <w:t xml:space="preserve">analogous to </w:t>
      </w:r>
      <w:r>
        <w:t xml:space="preserve">the roles played by </w:t>
      </w:r>
      <w:r w:rsidRPr="00071B71">
        <w:t>Korean President Kim Dae Jung in 199</w:t>
      </w:r>
      <w:r>
        <w:t>7</w:t>
      </w:r>
      <w:r w:rsidRPr="00071B71">
        <w:t xml:space="preserve"> and Brazilian President </w:t>
      </w:r>
      <w:r w:rsidRPr="00071B71">
        <w:rPr>
          <w:rFonts w:cs="Arial"/>
          <w:bCs/>
          <w:color w:val="252525"/>
          <w:shd w:val="clear" w:color="auto" w:fill="FFFFFF"/>
        </w:rPr>
        <w:t>Luiz Inácio Lula da Silva</w:t>
      </w:r>
      <w:r w:rsidRPr="00071B71">
        <w:t xml:space="preserve"> in 2002.  Both of those presidential candidates had been long-time men of the left, with strong ties to labor, and were </w:t>
      </w:r>
      <w:r w:rsidR="00516831">
        <w:t>known</w:t>
      </w:r>
      <w:r w:rsidRPr="00071B71">
        <w:t xml:space="preserve"> to </w:t>
      </w:r>
      <w:r>
        <w:t xml:space="preserve">place little priority on </w:t>
      </w:r>
      <w:r w:rsidR="00516831">
        <w:t>fiscal responsibility</w:t>
      </w:r>
      <w:r>
        <w:t xml:space="preserve"> or </w:t>
      </w:r>
      <w:r w:rsidR="00516831">
        <w:t>the virtues of</w:t>
      </w:r>
      <w:r w:rsidRPr="00071B71">
        <w:t xml:space="preserve"> markets.  Both were elected at a time of economic crisis in their </w:t>
      </w:r>
      <w:r>
        <w:t xml:space="preserve">respective </w:t>
      </w:r>
      <w:r w:rsidRPr="00071B71">
        <w:t>countries. Both confronted fina</w:t>
      </w:r>
      <w:r>
        <w:t>ncial and international constraint</w:t>
      </w:r>
      <w:r w:rsidRPr="00071B71">
        <w:t>s</w:t>
      </w:r>
      <w:r>
        <w:t xml:space="preserve"> in office that had not been especially salient in their minds when they were opposition politicians.  Both were able to make the mental and political </w:t>
      </w:r>
      <w:r w:rsidRPr="00071B71">
        <w:t>adjust</w:t>
      </w:r>
      <w:r>
        <w:t>ment to the realities faced by debtor economies</w:t>
      </w:r>
      <w:r w:rsidRPr="00071B71">
        <w:t xml:space="preserve">.  </w:t>
      </w:r>
      <w:r>
        <w:t>As a result, b</w:t>
      </w:r>
      <w:r w:rsidRPr="00071B71">
        <w:t xml:space="preserve">oth were able to lead their countries effectively.  </w:t>
      </w:r>
    </w:p>
    <w:p w:rsidR="000B0F09" w:rsidRDefault="000B0F09" w:rsidP="000B0F09">
      <w:pPr>
        <w:ind w:firstLine="720"/>
      </w:pPr>
      <w:r w:rsidRPr="00071B71">
        <w:t xml:space="preserve">They </w:t>
      </w:r>
      <w:r w:rsidR="00F21541">
        <w:t xml:space="preserve">pursued </w:t>
      </w:r>
      <w:r w:rsidRPr="00071B71">
        <w:t xml:space="preserve">needed reforms.  Some of these </w:t>
      </w:r>
      <w:r>
        <w:t xml:space="preserve">were “conservative” </w:t>
      </w:r>
      <w:r w:rsidRPr="00071B71">
        <w:t>reforms</w:t>
      </w:r>
      <w:r>
        <w:t xml:space="preserve"> (or “neo-liberal”) </w:t>
      </w:r>
      <w:r w:rsidRPr="00071B71">
        <w:t>that</w:t>
      </w:r>
      <w:r>
        <w:t xml:space="preserve"> </w:t>
      </w:r>
      <w:r w:rsidRPr="00071B71">
        <w:t>might not have been possible under more mainstream or conservative politicians</w:t>
      </w:r>
      <w:r>
        <w:t xml:space="preserve">.  </w:t>
      </w:r>
    </w:p>
    <w:p w:rsidR="000B0F09" w:rsidRDefault="000B0F09" w:rsidP="000B0F09">
      <w:pPr>
        <w:ind w:firstLine="720"/>
      </w:pPr>
      <w:r>
        <w:t xml:space="preserve">But Kim and Lula were also able to implement other, “liberal,” reforms consistent with their lifetime commitment to reducing income inequality.  Korea began to rein in </w:t>
      </w:r>
      <w:r w:rsidR="00680611">
        <w:t xml:space="preserve">the chaebols,   </w:t>
      </w:r>
      <w:r w:rsidR="00680611" w:rsidRPr="00680611">
        <w:rPr>
          <w:rFonts w:asciiTheme="minorHAnsi" w:hAnsiTheme="minorHAnsi"/>
          <w:color w:val="444444"/>
          <w:shd w:val="clear" w:color="auto" w:fill="FFFFFF"/>
        </w:rPr>
        <w:t>the country’s big family-owned conglomerates.</w:t>
      </w:r>
      <w:r w:rsidR="00680611">
        <w:t xml:space="preserve">   Brazil expand</w:t>
      </w:r>
      <w:r>
        <w:t>ed the Bolsa Familia plan</w:t>
      </w:r>
      <w:r w:rsidR="00680611">
        <w:rPr>
          <w:rFonts w:ascii="Helvetica" w:hAnsi="Helvetica"/>
          <w:color w:val="444444"/>
          <w:sz w:val="26"/>
          <w:szCs w:val="26"/>
          <w:shd w:val="clear" w:color="auto" w:fill="FFFFFF"/>
        </w:rPr>
        <w:t xml:space="preserve">, </w:t>
      </w:r>
      <w:r w:rsidR="00680611" w:rsidRPr="00680611">
        <w:rPr>
          <w:rFonts w:asciiTheme="minorHAnsi" w:hAnsiTheme="minorHAnsi"/>
          <w:color w:val="444444"/>
          <w:shd w:val="clear" w:color="auto" w:fill="FFFFFF"/>
        </w:rPr>
        <w:t>a system of direct cash payments to households that successfully lifted millions out of poverty.</w:t>
      </w:r>
    </w:p>
    <w:p w:rsidR="000B0F09" w:rsidRDefault="000B0F09" w:rsidP="000B0F09">
      <w:pPr>
        <w:ind w:firstLine="720"/>
      </w:pPr>
      <w:r>
        <w:t>Mr. Tsipras and his Syriza party spent their first six months in office still mentally blinkered against financial and international realities.  A career as a political party apparatchik is probably not the best training for being able to see things from the perspective of other points on the political spectrum, other segments of the economy, or other countries.  This is true of a career in any political party in any country but especially one on the far left or far right.</w:t>
      </w:r>
    </w:p>
    <w:p w:rsidR="000B0F09" w:rsidRDefault="000B0F09" w:rsidP="000B0F09">
      <w:pPr>
        <w:ind w:firstLine="720"/>
      </w:pPr>
      <w:r>
        <w:t>The Greek Prime Minister seemed to think that calling the July 5 referendum on whether to accept terms that had been demanded previously by Germany and the other creditor countries would strengthen his bargaining position.  If he were reading from a normal script, he would logically have been asking the Greek people to vote “yes” on the referendum.   But he was asking them to vote “no”, of course, which they did in surprising numbers.   As a result – and contrary to his apparent expectations -- the only people whose bargaining position was strengthened by this referendum were Germans who felt the time had come to let Greece drop out of the euro.</w:t>
      </w:r>
    </w:p>
    <w:p w:rsidR="000B0F09" w:rsidRDefault="000B0F09" w:rsidP="000B0F09">
      <w:pPr>
        <w:ind w:firstLine="720"/>
      </w:pPr>
      <w:r>
        <w:t>The Greek leadership eventually discovered that its euro partners, predictably, were not prepared to offer easier terms than they had been in June, and in fact a</w:t>
      </w:r>
      <w:r w:rsidR="00471FD2">
        <w:t>s</w:t>
      </w:r>
      <w:r>
        <w:t>k</w:t>
      </w:r>
      <w:r w:rsidR="00471FD2">
        <w:t>ed</w:t>
      </w:r>
      <w:r>
        <w:t xml:space="preserve"> for more extensive concessions as the </w:t>
      </w:r>
      <w:r w:rsidR="00471FD2">
        <w:t>price of a third bailout.   Not until</w:t>
      </w:r>
      <w:r>
        <w:t xml:space="preserve"> a week after the referendum did Mr. Tsipras finally begin to face up to reality.  The only possible silver lining to this sorry history is that some of his supporters at home may – paradoxically – now be willing to swallow the bitter medicine that they had opposed in the referendum.   Like Kim </w:t>
      </w:r>
      <w:r w:rsidR="00D3332A">
        <w:t>D</w:t>
      </w:r>
      <w:r>
        <w:t xml:space="preserve">ae Jung and Lula, he may be able to bring political support of some on the left who figure, “If my leader now says these unpalatable measures are necessary, then it must be true”.   </w:t>
      </w:r>
      <w:r w:rsidR="009E67D9">
        <w:t xml:space="preserve"> As they say, o</w:t>
      </w:r>
      <w:r>
        <w:t>nly Nixon can go to China.</w:t>
      </w:r>
    </w:p>
    <w:p w:rsidR="000B0F09" w:rsidRDefault="000B0F09" w:rsidP="000B0F09">
      <w:pPr>
        <w:ind w:firstLine="720"/>
      </w:pPr>
      <w:r>
        <w:t xml:space="preserve">None of this is to say that the financial and international realities are necessarily always reasonable.  Sometimes global financial markets indulge in unreasonable booms in their eagerness to lend, followed by abrupt reversals.  That describes the large capital inflows into </w:t>
      </w:r>
      <w:r>
        <w:lastRenderedPageBreak/>
        <w:t>Greece and other European periphery countries in the first ten years after the euro’s 1999 birth.  It also describes the sudden stop in lending to Korea and other emerging market countries in the late 1990s.</w:t>
      </w:r>
    </w:p>
    <w:p w:rsidR="000B0F09" w:rsidRDefault="000B0F09" w:rsidP="000B0F09">
      <w:pPr>
        <w:ind w:firstLine="720"/>
      </w:pPr>
    </w:p>
    <w:p w:rsidR="000B0F09" w:rsidRDefault="000B0F09" w:rsidP="000B0F09">
      <w:pPr>
        <w:ind w:firstLine="720"/>
      </w:pPr>
      <w:r>
        <w:t xml:space="preserve">Foreign creditor governments can be unreasonable as well.   The misperceptions and errors on the part of leaders in Germany and other creditor countries have been as bad as the misperceptions and errors on the part of the less-experienced Greek leaders.   </w:t>
      </w:r>
      <w:r w:rsidR="00984D32">
        <w:t>T</w:t>
      </w:r>
      <w:r>
        <w:t xml:space="preserve">he belief that </w:t>
      </w:r>
      <w:hyperlink r:id="rId11" w:history="1">
        <w:r w:rsidRPr="00A45C1A">
          <w:rPr>
            <w:rStyle w:val="Hyperlink"/>
          </w:rPr>
          <w:t>fiscal</w:t>
        </w:r>
      </w:hyperlink>
      <w:r>
        <w:t xml:space="preserve"> </w:t>
      </w:r>
      <w:hyperlink r:id="rId12" w:history="1">
        <w:r w:rsidRPr="00DA6B22">
          <w:rPr>
            <w:rStyle w:val="Hyperlink"/>
          </w:rPr>
          <w:t>austerity</w:t>
        </w:r>
      </w:hyperlink>
      <w:r>
        <w:t xml:space="preserve"> raises income rather than lowering it, even in the short run, was </w:t>
      </w:r>
      <w:r w:rsidR="00984D32">
        <w:t>one</w:t>
      </w:r>
      <w:r>
        <w:t xml:space="preserve"> </w:t>
      </w:r>
      <w:hyperlink r:id="rId13" w:history="1">
        <w:r w:rsidRPr="00A45C1A">
          <w:rPr>
            <w:rStyle w:val="Hyperlink"/>
          </w:rPr>
          <w:t>mistaken</w:t>
        </w:r>
      </w:hyperlink>
      <w:r>
        <w:t xml:space="preserve"> perception.  As noted, the refusal to write down the debt in </w:t>
      </w:r>
      <w:r w:rsidR="00186D33">
        <w:t>2010</w:t>
      </w:r>
      <w:r>
        <w:t xml:space="preserve"> was a mistaken policy</w:t>
      </w:r>
      <w:r w:rsidR="00984D32">
        <w:t xml:space="preserve"> as well</w:t>
      </w:r>
      <w:r>
        <w:t xml:space="preserve">.   </w:t>
      </w:r>
    </w:p>
    <w:p w:rsidR="00952551" w:rsidRDefault="009E67D9" w:rsidP="00952551">
      <w:pPr>
        <w:ind w:firstLine="720"/>
      </w:pPr>
      <w:r>
        <w:t>A</w:t>
      </w:r>
      <w:r w:rsidR="000B0F09">
        <w:t xml:space="preserve"> stubborn clinging to wrong propositions on each side has reinforced the stubbornness on the other side.  The Germans would have done better to understand and admit </w:t>
      </w:r>
      <w:r w:rsidR="00952551">
        <w:t xml:space="preserve">explicitly </w:t>
      </w:r>
      <w:r w:rsidR="000B0F09">
        <w:t xml:space="preserve">that fiscal austerity is contractionary in the short run.  The Greeks would have done better to understand and admit </w:t>
      </w:r>
      <w:r w:rsidR="00952551">
        <w:t xml:space="preserve">explicitly </w:t>
      </w:r>
      <w:r w:rsidR="000B0F09">
        <w:t>that the preeminence of democracy does not mean that one country’s people can democratically vote for other countries to give them money.</w:t>
      </w:r>
    </w:p>
    <w:p w:rsidR="000B0F09" w:rsidRDefault="000B0F09" w:rsidP="00952551">
      <w:pPr>
        <w:ind w:firstLine="720"/>
      </w:pPr>
      <w:r>
        <w:t>In terms of game theory, the fact that the Greeks and Germans have different economic interests is not enough to explain the very poor outcome of negotiations to date.  The difference in perceptions has been central.  “Getting to yes” in a bargaining situation requires not just that the negotiators have a clear idea of their own top priorities, but also a good idea of what is the top priority of the other side.   We may now be facing a “bad bargain” in which each side is called upon to give up its top priorities.  On one side, Greece shoul</w:t>
      </w:r>
      <w:r w:rsidR="00984D32">
        <w:t xml:space="preserve">dn’t expect the ECB </w:t>
      </w:r>
      <w:r>
        <w:t>to be willing</w:t>
      </w:r>
      <w:r w:rsidRPr="00B1789A">
        <w:t xml:space="preserve"> </w:t>
      </w:r>
      <w:r>
        <w:t xml:space="preserve">explicitly to write down the debt </w:t>
      </w:r>
      <w:r w:rsidR="00D3332A">
        <w:t>it</w:t>
      </w:r>
      <w:r>
        <w:t xml:space="preserve"> hold</w:t>
      </w:r>
      <w:r w:rsidR="00D3332A">
        <w:t>s</w:t>
      </w:r>
      <w:r>
        <w:t>.  On the other side, the creditors shouldn’t expect Greece to run a substantial primary budget surplus.</w:t>
      </w:r>
      <w:r w:rsidR="00984D32">
        <w:rPr>
          <w:rStyle w:val="FootnoteReference"/>
        </w:rPr>
        <w:footnoteReference w:id="11"/>
      </w:r>
      <w:r>
        <w:t xml:space="preserve">  A “good bargain” would have the creditors stretch out lending terms even further so that Greece doesn’t</w:t>
      </w:r>
      <w:r w:rsidR="00984D32">
        <w:t xml:space="preserve"> have to pay over the next few </w:t>
      </w:r>
      <w:r>
        <w:t xml:space="preserve">years and would have the Greeks committing to structural reforms that would raise growth.  </w:t>
      </w:r>
    </w:p>
    <w:p w:rsidR="000B0F09" w:rsidRDefault="000B0F09" w:rsidP="000B0F09"/>
    <w:p w:rsidR="000B0F09" w:rsidRDefault="000B0F09" w:rsidP="00984D32">
      <w:pPr>
        <w:ind w:firstLine="720"/>
      </w:pPr>
      <w:r>
        <w:t>One hopes that the awful experience of the recent past has led both sides to clearer perceptions of economic realities and of top priorities.   Such evolution is necessary if the two sides are to arrive at a good bargain rather than either a bad bargain or a fail</w:t>
      </w:r>
      <w:r w:rsidR="00984D32">
        <w:t xml:space="preserve">ure of cooperation altogether. </w:t>
      </w:r>
      <w:r>
        <w:t>The non-cooperative equilibrium is that Greek banks fail and Greece effectively drops ou</w:t>
      </w:r>
      <w:r w:rsidR="00952551">
        <w:t xml:space="preserve">t of the euro. This may </w:t>
      </w:r>
      <w:r w:rsidR="00984D32">
        <w:t xml:space="preserve">be </w:t>
      </w:r>
      <w:r w:rsidR="00952551">
        <w:t xml:space="preserve">even </w:t>
      </w:r>
      <w:r w:rsidR="00984D32">
        <w:t>worse than a bad bargain</w:t>
      </w:r>
      <w:r w:rsidR="00952551">
        <w:t>, though I am not sure</w:t>
      </w:r>
      <w:r w:rsidR="00984D32">
        <w:t>.</w:t>
      </w:r>
      <w:r>
        <w:t xml:space="preserve">    </w:t>
      </w:r>
    </w:p>
    <w:p w:rsidR="00F23515" w:rsidRDefault="00F23515" w:rsidP="00F23515"/>
    <w:p w:rsidR="00F23515" w:rsidRPr="00071B71" w:rsidRDefault="00F23515" w:rsidP="00F23515">
      <w:pPr>
        <w:ind w:firstLine="720"/>
      </w:pPr>
      <w:r>
        <w:t xml:space="preserve">A recurrent theme of the Greek crisis ever since it erupted in late 2009 is that both the Greeks and the Euro creditor countries have been reluctant to consider that lessons from previous emerging market crises might apply to them.  After all, Greece was not a developing country but rather a member of the euro.   And one should not underestimate the opposition that reforms will continue to face among Greeks.  But </w:t>
      </w:r>
      <w:r w:rsidR="001D1B54">
        <w:t>the Emerging Market crises do have important lessons for Europe.  I</w:t>
      </w:r>
      <w:r>
        <w:t xml:space="preserve">f </w:t>
      </w:r>
      <w:r w:rsidR="001D1B54" w:rsidRPr="001D1B54">
        <w:rPr>
          <w:rFonts w:asciiTheme="minorHAnsi" w:hAnsiTheme="minorHAnsi"/>
          <w:color w:val="444444"/>
          <w:shd w:val="clear" w:color="auto" w:fill="FFFFFF"/>
        </w:rPr>
        <w:t xml:space="preserve">Tsipras were able to shift gears in the way that Kim </w:t>
      </w:r>
      <w:r w:rsidR="00D3332A">
        <w:rPr>
          <w:rFonts w:asciiTheme="minorHAnsi" w:hAnsiTheme="minorHAnsi"/>
          <w:color w:val="444444"/>
          <w:shd w:val="clear" w:color="auto" w:fill="FFFFFF"/>
        </w:rPr>
        <w:t>D</w:t>
      </w:r>
      <w:r w:rsidR="001D1B54" w:rsidRPr="001D1B54">
        <w:rPr>
          <w:rFonts w:asciiTheme="minorHAnsi" w:hAnsiTheme="minorHAnsi"/>
          <w:color w:val="444444"/>
          <w:shd w:val="clear" w:color="auto" w:fill="FFFFFF"/>
        </w:rPr>
        <w:t>ae Jung did in Korea and Lula did in Brazil, he would better serve his country.</w:t>
      </w:r>
    </w:p>
    <w:p w:rsidR="00C747FB" w:rsidRDefault="00C747FB" w:rsidP="00C747FB"/>
    <w:p w:rsidR="00C335AD" w:rsidRDefault="00C335AD" w:rsidP="00C747FB"/>
    <w:p w:rsidR="001D1B54" w:rsidRDefault="001D1B54" w:rsidP="00C747FB"/>
    <w:p w:rsidR="001D1B54" w:rsidRDefault="001D1B54" w:rsidP="00C747FB"/>
    <w:p w:rsidR="001D1B54" w:rsidRDefault="001D1B54" w:rsidP="00C747FB"/>
    <w:p w:rsidR="00C335AD" w:rsidRDefault="00C335AD" w:rsidP="00C747FB"/>
    <w:p w:rsidR="00CB4F9D" w:rsidRPr="002B6DAC" w:rsidRDefault="00CB4F9D" w:rsidP="003B2DBD">
      <w:pPr>
        <w:rPr>
          <w:sz w:val="8"/>
          <w:szCs w:val="8"/>
        </w:rPr>
      </w:pPr>
      <w:r>
        <w:t>References</w:t>
      </w:r>
    </w:p>
    <w:p w:rsidR="008811FB" w:rsidRPr="002B6DAC" w:rsidRDefault="008811FB" w:rsidP="003B2DBD">
      <w:pPr>
        <w:rPr>
          <w:sz w:val="8"/>
          <w:szCs w:val="8"/>
        </w:rPr>
      </w:pPr>
    </w:p>
    <w:p w:rsidR="00C335AD" w:rsidRDefault="00C335AD" w:rsidP="00C335AD">
      <w:pPr>
        <w:shd w:val="clear" w:color="auto" w:fill="FFFFFF"/>
        <w:spacing w:line="240" w:lineRule="atLeast"/>
        <w:rPr>
          <w:rFonts w:ascii="Arial" w:eastAsia="Times New Roman" w:hAnsi="Arial" w:cs="Arial"/>
          <w:color w:val="222222"/>
          <w:sz w:val="20"/>
          <w:szCs w:val="20"/>
        </w:rPr>
      </w:pPr>
    </w:p>
    <w:p w:rsidR="00C335AD" w:rsidRPr="001D1B54" w:rsidRDefault="008811FB" w:rsidP="00C335AD">
      <w:pPr>
        <w:shd w:val="clear" w:color="auto" w:fill="FFFFFF"/>
        <w:spacing w:line="240" w:lineRule="atLeast"/>
        <w:ind w:left="720" w:hanging="720"/>
        <w:rPr>
          <w:rFonts w:ascii="Arial" w:eastAsia="Times New Roman" w:hAnsi="Arial" w:cs="Arial"/>
          <w:color w:val="222222"/>
          <w:sz w:val="22"/>
          <w:szCs w:val="22"/>
        </w:rPr>
      </w:pPr>
      <w:r w:rsidRPr="001D1B54">
        <w:rPr>
          <w:rFonts w:asciiTheme="minorHAnsi" w:hAnsiTheme="minorHAnsi"/>
          <w:sz w:val="22"/>
          <w:szCs w:val="22"/>
        </w:rPr>
        <w:t>B</w:t>
      </w:r>
      <w:r w:rsidR="00C335AD" w:rsidRPr="00C335AD">
        <w:rPr>
          <w:rFonts w:asciiTheme="minorHAnsi" w:eastAsia="Times New Roman" w:hAnsiTheme="minorHAnsi" w:cs="Arial"/>
          <w:color w:val="222222"/>
          <w:sz w:val="22"/>
          <w:szCs w:val="22"/>
        </w:rPr>
        <w:t xml:space="preserve">ayoumi, </w:t>
      </w:r>
      <w:r w:rsidR="00C335AD" w:rsidRPr="001D1B54">
        <w:rPr>
          <w:rFonts w:asciiTheme="minorHAnsi" w:eastAsia="Times New Roman" w:hAnsiTheme="minorHAnsi" w:cs="Arial"/>
          <w:color w:val="222222"/>
          <w:sz w:val="22"/>
          <w:szCs w:val="22"/>
        </w:rPr>
        <w:t xml:space="preserve">Tamim, </w:t>
      </w:r>
      <w:r w:rsidR="00C335AD" w:rsidRPr="00C335AD">
        <w:rPr>
          <w:rFonts w:asciiTheme="minorHAnsi" w:eastAsia="Times New Roman" w:hAnsiTheme="minorHAnsi" w:cs="Arial"/>
          <w:color w:val="222222"/>
          <w:sz w:val="22"/>
          <w:szCs w:val="22"/>
        </w:rPr>
        <w:t>Morris Goldstein and Geoffrey Woglom</w:t>
      </w:r>
      <w:r w:rsidR="00C335AD" w:rsidRPr="001D1B54">
        <w:rPr>
          <w:rFonts w:asciiTheme="minorHAnsi" w:eastAsia="Times New Roman" w:hAnsiTheme="minorHAnsi" w:cs="Arial"/>
          <w:color w:val="222222"/>
          <w:sz w:val="22"/>
          <w:szCs w:val="22"/>
        </w:rPr>
        <w:t>, 1995, “</w:t>
      </w:r>
      <w:r w:rsidR="00C335AD" w:rsidRPr="00C335AD">
        <w:rPr>
          <w:rFonts w:asciiTheme="minorHAnsi" w:eastAsia="Times New Roman" w:hAnsiTheme="minorHAnsi"/>
          <w:color w:val="333333"/>
          <w:kern w:val="36"/>
          <w:sz w:val="22"/>
          <w:szCs w:val="22"/>
        </w:rPr>
        <w:t>Do Credit Markets Discipline Sovereign Borrowers? Evidence from U.S. States</w:t>
      </w:r>
      <w:r w:rsidR="00C335AD" w:rsidRPr="001D1B54">
        <w:rPr>
          <w:rFonts w:asciiTheme="minorHAnsi" w:eastAsia="Times New Roman" w:hAnsiTheme="minorHAnsi"/>
          <w:color w:val="333333"/>
          <w:kern w:val="36"/>
          <w:sz w:val="22"/>
          <w:szCs w:val="22"/>
        </w:rPr>
        <w:t xml:space="preserve">,” </w:t>
      </w:r>
      <w:r w:rsidR="00C335AD" w:rsidRPr="001D1B54">
        <w:rPr>
          <w:rFonts w:asciiTheme="minorHAnsi" w:eastAsia="Times New Roman" w:hAnsiTheme="minorHAnsi" w:cs="Arial"/>
          <w:i/>
          <w:iCs/>
          <w:color w:val="222222"/>
          <w:sz w:val="22"/>
          <w:szCs w:val="22"/>
        </w:rPr>
        <w:t xml:space="preserve">Journal of Money, Credit and Banking, </w:t>
      </w:r>
      <w:r w:rsidR="00C335AD" w:rsidRPr="00C335AD">
        <w:rPr>
          <w:rFonts w:asciiTheme="minorHAnsi" w:eastAsia="Times New Roman" w:hAnsiTheme="minorHAnsi" w:cs="Arial"/>
          <w:color w:val="222222"/>
          <w:sz w:val="22"/>
          <w:szCs w:val="22"/>
        </w:rPr>
        <w:t xml:space="preserve">Vol. </w:t>
      </w:r>
      <w:r w:rsidR="00C335AD" w:rsidRPr="001D1B54">
        <w:rPr>
          <w:rFonts w:asciiTheme="minorHAnsi" w:eastAsia="Times New Roman" w:hAnsiTheme="minorHAnsi" w:cs="Arial"/>
          <w:color w:val="222222"/>
          <w:sz w:val="22"/>
          <w:szCs w:val="22"/>
        </w:rPr>
        <w:t xml:space="preserve">27, No. 4, Part 1, Nov.: </w:t>
      </w:r>
      <w:r w:rsidR="00C335AD" w:rsidRPr="00C335AD">
        <w:rPr>
          <w:rFonts w:asciiTheme="minorHAnsi" w:eastAsia="Times New Roman" w:hAnsiTheme="minorHAnsi" w:cs="Arial"/>
          <w:color w:val="222222"/>
          <w:sz w:val="22"/>
          <w:szCs w:val="22"/>
        </w:rPr>
        <w:t>1046-1059</w:t>
      </w:r>
      <w:r w:rsidR="00C335AD" w:rsidRPr="001D1B54">
        <w:rPr>
          <w:rFonts w:ascii="Arial" w:eastAsia="Times New Roman" w:hAnsi="Arial" w:cs="Arial"/>
          <w:color w:val="222222"/>
          <w:sz w:val="22"/>
          <w:szCs w:val="22"/>
        </w:rPr>
        <w:t>.</w:t>
      </w:r>
    </w:p>
    <w:p w:rsidR="008811FB" w:rsidRPr="001D1B54" w:rsidRDefault="00C335AD" w:rsidP="00CB4F9D">
      <w:pPr>
        <w:ind w:left="720" w:hanging="720"/>
        <w:rPr>
          <w:rFonts w:asciiTheme="minorHAnsi" w:hAnsiTheme="minorHAnsi"/>
          <w:sz w:val="22"/>
          <w:szCs w:val="22"/>
        </w:rPr>
      </w:pPr>
      <w:r w:rsidRPr="001D1B54">
        <w:rPr>
          <w:rFonts w:asciiTheme="minorHAnsi" w:hAnsiTheme="minorHAnsi"/>
          <w:sz w:val="22"/>
          <w:szCs w:val="22"/>
        </w:rPr>
        <w:t>B</w:t>
      </w:r>
      <w:r w:rsidR="008811FB" w:rsidRPr="001D1B54">
        <w:rPr>
          <w:rFonts w:asciiTheme="minorHAnsi" w:hAnsiTheme="minorHAnsi"/>
          <w:sz w:val="22"/>
          <w:szCs w:val="22"/>
        </w:rPr>
        <w:t xml:space="preserve">eetsma, Roel, and Harald Uhlig, 1999, “An Analysis of the Stability and Growth Pact,” </w:t>
      </w:r>
      <w:r w:rsidR="008811FB" w:rsidRPr="001D1B54">
        <w:rPr>
          <w:rFonts w:asciiTheme="minorHAnsi" w:hAnsiTheme="minorHAnsi"/>
          <w:i/>
          <w:sz w:val="22"/>
          <w:szCs w:val="22"/>
        </w:rPr>
        <w:t>Economic Journal</w:t>
      </w:r>
      <w:r w:rsidR="008811FB" w:rsidRPr="001D1B54">
        <w:rPr>
          <w:rFonts w:asciiTheme="minorHAnsi" w:hAnsiTheme="minorHAnsi"/>
          <w:sz w:val="22"/>
          <w:szCs w:val="22"/>
        </w:rPr>
        <w:t xml:space="preserve"> 109 (458): 546–71.</w:t>
      </w:r>
    </w:p>
    <w:p w:rsidR="00772492" w:rsidRPr="001D1B54" w:rsidRDefault="00772492" w:rsidP="00772492">
      <w:pPr>
        <w:ind w:left="720" w:hanging="720"/>
        <w:rPr>
          <w:sz w:val="22"/>
          <w:szCs w:val="22"/>
        </w:rPr>
      </w:pPr>
      <w:r w:rsidRPr="001D1B54">
        <w:rPr>
          <w:sz w:val="22"/>
          <w:szCs w:val="22"/>
        </w:rPr>
        <w:t xml:space="preserve">Blanchard, Olivier, and Daniel Leigh, 2013, “ Growth forecast errors and fiscal multipliers,” </w:t>
      </w:r>
      <w:r w:rsidRPr="001D1B54">
        <w:rPr>
          <w:i/>
          <w:iCs/>
          <w:sz w:val="22"/>
          <w:szCs w:val="22"/>
        </w:rPr>
        <w:t>American Economic Review</w:t>
      </w:r>
      <w:r w:rsidRPr="001D1B54">
        <w:rPr>
          <w:sz w:val="22"/>
          <w:szCs w:val="22"/>
        </w:rPr>
        <w:t>, 103(3), May:</w:t>
      </w:r>
      <w:r w:rsidR="00275719" w:rsidRPr="001D1B54">
        <w:rPr>
          <w:sz w:val="22"/>
          <w:szCs w:val="22"/>
        </w:rPr>
        <w:t xml:space="preserve"> </w:t>
      </w:r>
      <w:r w:rsidRPr="001D1B54">
        <w:rPr>
          <w:sz w:val="22"/>
          <w:szCs w:val="22"/>
        </w:rPr>
        <w:t>117-120.</w:t>
      </w:r>
    </w:p>
    <w:p w:rsidR="008811FB" w:rsidRPr="001D1B54" w:rsidRDefault="008811FB" w:rsidP="00CB4F9D">
      <w:pPr>
        <w:ind w:left="720" w:hanging="720"/>
        <w:rPr>
          <w:rFonts w:asciiTheme="minorHAnsi" w:hAnsiTheme="minorHAnsi"/>
          <w:sz w:val="22"/>
          <w:szCs w:val="22"/>
        </w:rPr>
      </w:pPr>
      <w:r w:rsidRPr="001D1B54">
        <w:rPr>
          <w:rFonts w:asciiTheme="minorHAnsi" w:hAnsiTheme="minorHAnsi"/>
          <w:sz w:val="22"/>
          <w:szCs w:val="22"/>
        </w:rPr>
        <w:t xml:space="preserve">Buiter, Willem, Giancarlo Corsetti and Nouriel Roubini, 1993, “Excessive Deficits: Sense and Nonsense in the Treaty of Maastricht,” </w:t>
      </w:r>
      <w:r w:rsidRPr="001D1B54">
        <w:rPr>
          <w:rFonts w:asciiTheme="minorHAnsi" w:hAnsiTheme="minorHAnsi"/>
          <w:i/>
          <w:iCs/>
          <w:sz w:val="22"/>
          <w:szCs w:val="22"/>
        </w:rPr>
        <w:t>Economic Policy</w:t>
      </w:r>
      <w:r w:rsidRPr="001D1B54">
        <w:rPr>
          <w:rFonts w:asciiTheme="minorHAnsi" w:hAnsiTheme="minorHAnsi"/>
          <w:sz w:val="22"/>
          <w:szCs w:val="22"/>
        </w:rPr>
        <w:t>, Vol.16,57-100.</w:t>
      </w:r>
    </w:p>
    <w:p w:rsidR="00984D32" w:rsidRPr="001D1B54" w:rsidRDefault="00984D32" w:rsidP="00984D32">
      <w:pPr>
        <w:ind w:left="720" w:hanging="720"/>
        <w:rPr>
          <w:sz w:val="22"/>
          <w:szCs w:val="22"/>
        </w:rPr>
      </w:pPr>
      <w:r w:rsidRPr="001D1B54">
        <w:rPr>
          <w:color w:val="000000"/>
          <w:sz w:val="22"/>
          <w:szCs w:val="22"/>
          <w:shd w:val="clear" w:color="auto" w:fill="FAFAFA"/>
        </w:rPr>
        <w:t>Eichengreen, Barry, and Ugo Panizza,  2014, “</w:t>
      </w:r>
      <w:r w:rsidRPr="001D1B54">
        <w:rPr>
          <w:sz w:val="22"/>
          <w:szCs w:val="22"/>
          <w:bdr w:val="none" w:sz="0" w:space="0" w:color="auto" w:frame="1"/>
          <w:shd w:val="clear" w:color="auto" w:fill="FAFAFA"/>
        </w:rPr>
        <w:t>A Surplus of Ambition: Can Europe Rely on Large Primary Surpluses to Solve Its Debt Problem?</w:t>
      </w:r>
      <w:r w:rsidRPr="001D1B54">
        <w:rPr>
          <w:color w:val="000000"/>
          <w:sz w:val="22"/>
          <w:szCs w:val="22"/>
          <w:shd w:val="clear" w:color="auto" w:fill="FAFAFA"/>
        </w:rPr>
        <w:t>” CEPR Discussion Paper 10069; NBER WP 20136.</w:t>
      </w:r>
    </w:p>
    <w:p w:rsidR="008811FB" w:rsidRPr="001D1B54" w:rsidRDefault="005D521C" w:rsidP="00CB4F9D">
      <w:pPr>
        <w:pStyle w:val="nitf"/>
        <w:shd w:val="clear" w:color="auto" w:fill="FFFFFF"/>
        <w:spacing w:before="0" w:beforeAutospacing="0" w:after="0" w:afterAutospacing="0"/>
        <w:ind w:left="720" w:hanging="720"/>
        <w:outlineLvl w:val="4"/>
        <w:rPr>
          <w:rFonts w:asciiTheme="minorHAnsi" w:hAnsiTheme="minorHAnsi" w:cs="Arial"/>
          <w:color w:val="333333"/>
          <w:sz w:val="22"/>
          <w:szCs w:val="22"/>
        </w:rPr>
      </w:pPr>
      <w:r w:rsidRPr="001D1B54">
        <w:rPr>
          <w:rFonts w:asciiTheme="minorHAnsi" w:hAnsiTheme="minorHAnsi" w:cs="Arial"/>
          <w:color w:val="333333"/>
          <w:sz w:val="22"/>
          <w:szCs w:val="22"/>
        </w:rPr>
        <w:t>Ellis, Joseph</w:t>
      </w:r>
      <w:r w:rsidR="008811FB" w:rsidRPr="001D1B54">
        <w:rPr>
          <w:rFonts w:asciiTheme="minorHAnsi" w:hAnsiTheme="minorHAnsi" w:cs="Arial"/>
          <w:color w:val="333333"/>
          <w:sz w:val="22"/>
          <w:szCs w:val="22"/>
        </w:rPr>
        <w:t>, 2015,</w:t>
      </w:r>
      <w:r w:rsidR="008811FB" w:rsidRPr="001D1B54">
        <w:rPr>
          <w:rFonts w:asciiTheme="minorHAnsi" w:hAnsiTheme="minorHAnsi" w:cs="Arial"/>
          <w:bCs/>
          <w:i/>
          <w:color w:val="000000"/>
          <w:sz w:val="22"/>
          <w:szCs w:val="22"/>
        </w:rPr>
        <w:t xml:space="preserve"> The Quartet: Orchestrating the Second American Revolution, 1783-1789</w:t>
      </w:r>
      <w:r w:rsidR="008811FB" w:rsidRPr="001D1B54">
        <w:rPr>
          <w:rFonts w:asciiTheme="minorHAnsi" w:hAnsiTheme="minorHAnsi" w:cs="Arial"/>
          <w:bCs/>
          <w:color w:val="000000"/>
          <w:sz w:val="22"/>
          <w:szCs w:val="22"/>
        </w:rPr>
        <w:t xml:space="preserve"> </w:t>
      </w:r>
      <w:r w:rsidR="008811FB" w:rsidRPr="001D1B54">
        <w:rPr>
          <w:rFonts w:asciiTheme="minorHAnsi" w:hAnsiTheme="minorHAnsi" w:cs="Arial"/>
          <w:color w:val="333333"/>
          <w:sz w:val="22"/>
          <w:szCs w:val="22"/>
        </w:rPr>
        <w:t>(Alfred A. Knopf).</w:t>
      </w:r>
    </w:p>
    <w:p w:rsidR="008811FB" w:rsidRPr="001D1B54" w:rsidRDefault="008811FB" w:rsidP="00CB4F9D">
      <w:pPr>
        <w:pStyle w:val="nitf"/>
        <w:shd w:val="clear" w:color="auto" w:fill="FFFFFF"/>
        <w:spacing w:before="0" w:beforeAutospacing="0" w:after="0" w:afterAutospacing="0"/>
        <w:ind w:left="720" w:hanging="720"/>
        <w:outlineLvl w:val="4"/>
        <w:rPr>
          <w:rFonts w:asciiTheme="minorHAnsi" w:hAnsiTheme="minorHAnsi"/>
          <w:color w:val="222222"/>
          <w:sz w:val="22"/>
          <w:szCs w:val="22"/>
          <w:shd w:val="clear" w:color="auto" w:fill="FFFFFF"/>
        </w:rPr>
      </w:pPr>
      <w:r w:rsidRPr="001D1B54">
        <w:rPr>
          <w:rFonts w:asciiTheme="minorHAnsi" w:hAnsiTheme="minorHAnsi"/>
          <w:color w:val="222222"/>
          <w:sz w:val="22"/>
          <w:szCs w:val="22"/>
          <w:shd w:val="clear" w:color="auto" w:fill="FFFFFF"/>
        </w:rPr>
        <w:t>Feldstein,</w:t>
      </w:r>
      <w:r w:rsidR="005D521C" w:rsidRPr="001D1B54">
        <w:rPr>
          <w:rFonts w:asciiTheme="minorHAnsi" w:hAnsiTheme="minorHAnsi"/>
          <w:color w:val="222222"/>
          <w:sz w:val="22"/>
          <w:szCs w:val="22"/>
          <w:shd w:val="clear" w:color="auto" w:fill="FFFFFF"/>
        </w:rPr>
        <w:t xml:space="preserve"> Martin,</w:t>
      </w:r>
      <w:r w:rsidRPr="001D1B54">
        <w:rPr>
          <w:rFonts w:asciiTheme="minorHAnsi" w:hAnsiTheme="minorHAnsi"/>
          <w:color w:val="222222"/>
          <w:sz w:val="22"/>
          <w:szCs w:val="22"/>
          <w:shd w:val="clear" w:color="auto" w:fill="FFFFFF"/>
        </w:rPr>
        <w:t xml:space="preserve"> 1997, "EMU and International Conflict,"</w:t>
      </w:r>
      <w:r w:rsidRPr="001D1B54">
        <w:rPr>
          <w:rStyle w:val="apple-converted-space"/>
          <w:rFonts w:asciiTheme="minorHAnsi" w:hAnsiTheme="minorHAnsi"/>
          <w:color w:val="222222"/>
          <w:sz w:val="22"/>
          <w:szCs w:val="22"/>
          <w:shd w:val="clear" w:color="auto" w:fill="FFFFFF"/>
        </w:rPr>
        <w:t> </w:t>
      </w:r>
      <w:r w:rsidRPr="001D1B54">
        <w:rPr>
          <w:rFonts w:asciiTheme="minorHAnsi" w:hAnsiTheme="minorHAnsi"/>
          <w:i/>
          <w:iCs/>
          <w:color w:val="222222"/>
          <w:sz w:val="22"/>
          <w:szCs w:val="22"/>
          <w:shd w:val="clear" w:color="auto" w:fill="FFFFFF"/>
        </w:rPr>
        <w:t>Foreign Affairs</w:t>
      </w:r>
      <w:r w:rsidR="00275719" w:rsidRPr="001D1B54">
        <w:rPr>
          <w:rFonts w:asciiTheme="minorHAnsi" w:hAnsiTheme="minorHAnsi"/>
          <w:color w:val="222222"/>
          <w:sz w:val="22"/>
          <w:szCs w:val="22"/>
          <w:shd w:val="clear" w:color="auto" w:fill="FFFFFF"/>
        </w:rPr>
        <w:t xml:space="preserve">, </w:t>
      </w:r>
      <w:r w:rsidRPr="001D1B54">
        <w:rPr>
          <w:rFonts w:asciiTheme="minorHAnsi" w:hAnsiTheme="minorHAnsi"/>
          <w:color w:val="222222"/>
          <w:sz w:val="22"/>
          <w:szCs w:val="22"/>
          <w:shd w:val="clear" w:color="auto" w:fill="FFFFFF"/>
        </w:rPr>
        <w:t>76, no.6, 60-73.</w:t>
      </w:r>
    </w:p>
    <w:p w:rsidR="00CB4F9D" w:rsidRPr="001D1B54" w:rsidRDefault="00275719" w:rsidP="00275719">
      <w:pPr>
        <w:pStyle w:val="nitf"/>
        <w:shd w:val="clear" w:color="auto" w:fill="FFFFFF"/>
        <w:spacing w:before="0" w:beforeAutospacing="0" w:after="0" w:afterAutospacing="0"/>
        <w:outlineLvl w:val="4"/>
        <w:rPr>
          <w:rFonts w:asciiTheme="minorHAnsi" w:hAnsiTheme="minorHAnsi"/>
          <w:color w:val="222222"/>
          <w:sz w:val="22"/>
          <w:szCs w:val="22"/>
          <w:shd w:val="clear" w:color="auto" w:fill="FFFFFF"/>
        </w:rPr>
      </w:pPr>
      <w:r w:rsidRPr="001D1B54">
        <w:rPr>
          <w:rFonts w:asciiTheme="minorHAnsi" w:hAnsiTheme="minorHAnsi"/>
          <w:sz w:val="22"/>
          <w:szCs w:val="22"/>
        </w:rPr>
        <w:t>---</w:t>
      </w:r>
      <w:r w:rsidR="00CB4F9D" w:rsidRPr="001D1B54">
        <w:rPr>
          <w:rFonts w:asciiTheme="minorHAnsi" w:hAnsiTheme="minorHAnsi"/>
          <w:color w:val="222222"/>
          <w:sz w:val="22"/>
          <w:szCs w:val="22"/>
          <w:shd w:val="clear" w:color="auto" w:fill="FFFFFF"/>
        </w:rPr>
        <w:t xml:space="preserve"> 2005. "The Euro and the Stability Pact."</w:t>
      </w:r>
      <w:r w:rsidR="00CB4F9D" w:rsidRPr="001D1B54">
        <w:rPr>
          <w:rStyle w:val="apple-converted-space"/>
          <w:rFonts w:asciiTheme="minorHAnsi" w:hAnsiTheme="minorHAnsi"/>
          <w:color w:val="222222"/>
          <w:sz w:val="22"/>
          <w:szCs w:val="22"/>
          <w:shd w:val="clear" w:color="auto" w:fill="FFFFFF"/>
        </w:rPr>
        <w:t> </w:t>
      </w:r>
      <w:r w:rsidR="00CB4F9D" w:rsidRPr="001D1B54">
        <w:rPr>
          <w:rFonts w:asciiTheme="minorHAnsi" w:hAnsiTheme="minorHAnsi"/>
          <w:i/>
          <w:iCs/>
          <w:color w:val="222222"/>
          <w:sz w:val="22"/>
          <w:szCs w:val="22"/>
          <w:shd w:val="clear" w:color="auto" w:fill="FFFFFF"/>
        </w:rPr>
        <w:t xml:space="preserve">Journal of Policy Modeling </w:t>
      </w:r>
      <w:r w:rsidRPr="001D1B54">
        <w:rPr>
          <w:rFonts w:asciiTheme="minorHAnsi" w:hAnsiTheme="minorHAnsi"/>
          <w:color w:val="222222"/>
          <w:sz w:val="22"/>
          <w:szCs w:val="22"/>
          <w:shd w:val="clear" w:color="auto" w:fill="FFFFFF"/>
        </w:rPr>
        <w:t>27, no.4:</w:t>
      </w:r>
      <w:r w:rsidR="00CB4F9D" w:rsidRPr="001D1B54">
        <w:rPr>
          <w:rFonts w:asciiTheme="minorHAnsi" w:hAnsiTheme="minorHAnsi"/>
          <w:color w:val="222222"/>
          <w:sz w:val="22"/>
          <w:szCs w:val="22"/>
          <w:shd w:val="clear" w:color="auto" w:fill="FFFFFF"/>
        </w:rPr>
        <w:t xml:space="preserve"> 421-426.</w:t>
      </w:r>
    </w:p>
    <w:p w:rsidR="00275719" w:rsidRPr="001D1B54" w:rsidRDefault="00275719" w:rsidP="00275719">
      <w:pPr>
        <w:ind w:left="720" w:hanging="720"/>
        <w:rPr>
          <w:rFonts w:asciiTheme="minorHAnsi" w:hAnsiTheme="minorHAnsi"/>
          <w:sz w:val="22"/>
          <w:szCs w:val="22"/>
        </w:rPr>
      </w:pPr>
      <w:r w:rsidRPr="001D1B54">
        <w:rPr>
          <w:rFonts w:asciiTheme="minorHAnsi" w:hAnsiTheme="minorHAnsi"/>
          <w:sz w:val="22"/>
          <w:szCs w:val="22"/>
        </w:rPr>
        <w:t xml:space="preserve">Frankel, Jeffrey. 1993. “ ‘Excessive Deficits: Sense and Nonsense in the Treaty of Maastricht;’ Comments on Buiter, Corsetti and Roubini,” </w:t>
      </w:r>
      <w:r w:rsidRPr="001D1B54">
        <w:rPr>
          <w:rFonts w:asciiTheme="minorHAnsi" w:hAnsiTheme="minorHAnsi"/>
          <w:i/>
          <w:iCs/>
          <w:sz w:val="22"/>
          <w:szCs w:val="22"/>
        </w:rPr>
        <w:t>Economic Policy</w:t>
      </w:r>
      <w:r w:rsidRPr="001D1B54">
        <w:rPr>
          <w:rFonts w:asciiTheme="minorHAnsi" w:hAnsiTheme="minorHAnsi"/>
          <w:sz w:val="22"/>
          <w:szCs w:val="22"/>
        </w:rPr>
        <w:t>, Vol.16: 92-97.</w:t>
      </w:r>
    </w:p>
    <w:p w:rsidR="00275719" w:rsidRDefault="00275719" w:rsidP="001D1B54">
      <w:pPr>
        <w:ind w:left="720" w:hanging="720"/>
        <w:rPr>
          <w:rFonts w:asciiTheme="minorHAnsi" w:hAnsiTheme="minorHAnsi"/>
          <w:color w:val="000000"/>
          <w:sz w:val="22"/>
          <w:szCs w:val="22"/>
        </w:rPr>
      </w:pPr>
      <w:r w:rsidRPr="001D1B54">
        <w:rPr>
          <w:rFonts w:asciiTheme="minorHAnsi" w:hAnsiTheme="minorHAnsi"/>
          <w:sz w:val="22"/>
          <w:szCs w:val="22"/>
        </w:rPr>
        <w:t>--- 2015,”The Euro Crisis: Where to From Here?”</w:t>
      </w:r>
      <w:r w:rsidRPr="001D1B54">
        <w:rPr>
          <w:rFonts w:asciiTheme="minorHAnsi" w:hAnsiTheme="minorHAnsi"/>
          <w:color w:val="000000"/>
          <w:sz w:val="22"/>
          <w:szCs w:val="22"/>
        </w:rPr>
        <w:t xml:space="preserve"> </w:t>
      </w:r>
      <w:r w:rsidRPr="001D1B54">
        <w:rPr>
          <w:rFonts w:asciiTheme="minorHAnsi" w:hAnsiTheme="minorHAnsi"/>
          <w:i/>
          <w:iCs/>
          <w:color w:val="000000"/>
          <w:sz w:val="22"/>
          <w:szCs w:val="22"/>
        </w:rPr>
        <w:t>Journal of Policy Modeling</w:t>
      </w:r>
      <w:r w:rsidRPr="001D1B54">
        <w:rPr>
          <w:rFonts w:asciiTheme="minorHAnsi" w:hAnsiTheme="minorHAnsi"/>
          <w:color w:val="000000"/>
          <w:sz w:val="22"/>
          <w:szCs w:val="22"/>
        </w:rPr>
        <w:t>,</w:t>
      </w:r>
      <w:r w:rsidRPr="001D1B54">
        <w:rPr>
          <w:rStyle w:val="apple-converted-space"/>
          <w:rFonts w:asciiTheme="minorHAnsi" w:hAnsiTheme="minorHAnsi"/>
          <w:color w:val="000000"/>
          <w:sz w:val="22"/>
          <w:szCs w:val="22"/>
        </w:rPr>
        <w:t> </w:t>
      </w:r>
      <w:r w:rsidRPr="001D1B54">
        <w:rPr>
          <w:rFonts w:asciiTheme="minorHAnsi" w:hAnsiTheme="minorHAnsi"/>
          <w:color w:val="000000"/>
          <w:sz w:val="22"/>
          <w:szCs w:val="22"/>
        </w:rPr>
        <w:t>37, issue 3, May/June.</w:t>
      </w:r>
    </w:p>
    <w:p w:rsidR="00894544" w:rsidRPr="00894544" w:rsidRDefault="00894544" w:rsidP="001D1B54">
      <w:pPr>
        <w:ind w:left="720" w:hanging="720"/>
        <w:rPr>
          <w:rFonts w:asciiTheme="minorHAnsi" w:hAnsiTheme="minorHAnsi"/>
          <w:sz w:val="22"/>
          <w:szCs w:val="22"/>
        </w:rPr>
      </w:pPr>
      <w:r w:rsidRPr="00894544">
        <w:rPr>
          <w:color w:val="000000"/>
          <w:sz w:val="22"/>
          <w:szCs w:val="22"/>
        </w:rPr>
        <w:t>Frankel, Jeffrey, and Jesse Schreger, 2013,"Over-optimistic Official Forecasts and Fiscal Rules in the Eurozone," </w:t>
      </w:r>
      <w:r w:rsidRPr="00894544">
        <w:rPr>
          <w:i/>
          <w:iCs/>
          <w:color w:val="000000"/>
          <w:sz w:val="22"/>
          <w:szCs w:val="22"/>
        </w:rPr>
        <w:t>Review of World Economy</w:t>
      </w:r>
      <w:r w:rsidRPr="00894544">
        <w:rPr>
          <w:rStyle w:val="apple-converted-space"/>
          <w:color w:val="000000"/>
          <w:sz w:val="22"/>
          <w:szCs w:val="22"/>
        </w:rPr>
        <w:t> </w:t>
      </w:r>
      <w:r w:rsidRPr="00894544">
        <w:rPr>
          <w:color w:val="000000"/>
          <w:sz w:val="22"/>
          <w:szCs w:val="22"/>
        </w:rPr>
        <w:t>(</w:t>
      </w:r>
      <w:r w:rsidRPr="00894544">
        <w:rPr>
          <w:i/>
          <w:iCs/>
          <w:color w:val="000000"/>
          <w:sz w:val="22"/>
          <w:szCs w:val="22"/>
        </w:rPr>
        <w:t>Weltwirtschaftliches Archiv</w:t>
      </w:r>
      <w:r w:rsidRPr="00894544">
        <w:rPr>
          <w:color w:val="000000"/>
          <w:sz w:val="22"/>
          <w:szCs w:val="22"/>
        </w:rPr>
        <w:t>)</w:t>
      </w:r>
      <w:r w:rsidRPr="00894544">
        <w:rPr>
          <w:rStyle w:val="apple-converted-space"/>
          <w:b/>
          <w:bCs/>
          <w:color w:val="000000"/>
          <w:sz w:val="22"/>
          <w:szCs w:val="22"/>
        </w:rPr>
        <w:t> </w:t>
      </w:r>
      <w:r w:rsidRPr="00894544">
        <w:rPr>
          <w:color w:val="000000"/>
          <w:sz w:val="22"/>
          <w:szCs w:val="22"/>
        </w:rPr>
        <w:t>149, no.2.</w:t>
      </w:r>
      <w:r w:rsidRPr="00894544">
        <w:rPr>
          <w:rStyle w:val="apple-converted-space"/>
          <w:color w:val="000000"/>
          <w:sz w:val="22"/>
          <w:szCs w:val="22"/>
        </w:rPr>
        <w:t> </w:t>
      </w:r>
    </w:p>
    <w:p w:rsidR="00275719" w:rsidRPr="001D1B54" w:rsidRDefault="00275719" w:rsidP="00CB4F9D">
      <w:pPr>
        <w:pStyle w:val="nitf"/>
        <w:shd w:val="clear" w:color="auto" w:fill="FFFFFF"/>
        <w:spacing w:before="0" w:beforeAutospacing="0" w:after="0" w:afterAutospacing="0"/>
        <w:ind w:left="720" w:hanging="720"/>
        <w:outlineLvl w:val="4"/>
        <w:rPr>
          <w:rFonts w:asciiTheme="minorHAnsi" w:hAnsiTheme="minorHAnsi" w:cs="Arial"/>
          <w:color w:val="333333"/>
          <w:sz w:val="22"/>
          <w:szCs w:val="22"/>
        </w:rPr>
      </w:pPr>
      <w:r w:rsidRPr="001D1B54">
        <w:rPr>
          <w:rFonts w:asciiTheme="minorHAnsi" w:hAnsiTheme="minorHAnsi" w:cs="Arial"/>
          <w:color w:val="222222"/>
          <w:sz w:val="22"/>
          <w:szCs w:val="22"/>
          <w:shd w:val="clear" w:color="auto" w:fill="FFFFFF"/>
        </w:rPr>
        <w:t xml:space="preserve">Frankel, Jeffrey, and Andrew Rose, 1998, "The </w:t>
      </w:r>
      <w:r w:rsidR="00DD27A4" w:rsidRPr="001D1B54">
        <w:rPr>
          <w:rFonts w:asciiTheme="minorHAnsi" w:hAnsiTheme="minorHAnsi" w:cs="Arial"/>
          <w:color w:val="222222"/>
          <w:sz w:val="22"/>
          <w:szCs w:val="22"/>
          <w:shd w:val="clear" w:color="auto" w:fill="FFFFFF"/>
        </w:rPr>
        <w:t>Endogeneity</w:t>
      </w:r>
      <w:r w:rsidRPr="001D1B54">
        <w:rPr>
          <w:rFonts w:asciiTheme="minorHAnsi" w:hAnsiTheme="minorHAnsi" w:cs="Arial"/>
          <w:color w:val="222222"/>
          <w:sz w:val="22"/>
          <w:szCs w:val="22"/>
          <w:shd w:val="clear" w:color="auto" w:fill="FFFFFF"/>
        </w:rPr>
        <w:t xml:space="preserve"> of the Optimum Currency Area Criteria."</w:t>
      </w:r>
      <w:r w:rsidRPr="001D1B54">
        <w:rPr>
          <w:rStyle w:val="apple-converted-space"/>
          <w:rFonts w:asciiTheme="minorHAnsi" w:hAnsiTheme="minorHAnsi" w:cs="Arial"/>
          <w:color w:val="222222"/>
          <w:sz w:val="22"/>
          <w:szCs w:val="22"/>
          <w:shd w:val="clear" w:color="auto" w:fill="FFFFFF"/>
        </w:rPr>
        <w:t> </w:t>
      </w:r>
      <w:r w:rsidRPr="001D1B54">
        <w:rPr>
          <w:rFonts w:asciiTheme="minorHAnsi" w:hAnsiTheme="minorHAnsi" w:cs="Arial"/>
          <w:i/>
          <w:iCs/>
          <w:color w:val="222222"/>
          <w:sz w:val="22"/>
          <w:szCs w:val="22"/>
          <w:shd w:val="clear" w:color="auto" w:fill="FFFFFF"/>
        </w:rPr>
        <w:t>The Economic Journal</w:t>
      </w:r>
      <w:r w:rsidRPr="001D1B54">
        <w:rPr>
          <w:rStyle w:val="apple-converted-space"/>
          <w:rFonts w:asciiTheme="minorHAnsi" w:hAnsiTheme="minorHAnsi" w:cs="Arial"/>
          <w:color w:val="222222"/>
          <w:sz w:val="22"/>
          <w:szCs w:val="22"/>
          <w:shd w:val="clear" w:color="auto" w:fill="FFFFFF"/>
        </w:rPr>
        <w:t> vol.</w:t>
      </w:r>
      <w:r w:rsidRPr="001D1B54">
        <w:rPr>
          <w:rFonts w:asciiTheme="minorHAnsi" w:hAnsiTheme="minorHAnsi" w:cs="Arial"/>
          <w:color w:val="222222"/>
          <w:sz w:val="22"/>
          <w:szCs w:val="22"/>
          <w:shd w:val="clear" w:color="auto" w:fill="FFFFFF"/>
        </w:rPr>
        <w:t>108, no. 449: 1009-1025.</w:t>
      </w:r>
    </w:p>
    <w:p w:rsidR="008811FB" w:rsidRPr="001D1B54" w:rsidRDefault="008811FB" w:rsidP="00CB4F9D">
      <w:pPr>
        <w:ind w:left="720" w:hanging="720"/>
        <w:rPr>
          <w:rFonts w:asciiTheme="minorHAnsi" w:hAnsiTheme="minorHAnsi"/>
          <w:sz w:val="22"/>
          <w:szCs w:val="22"/>
        </w:rPr>
      </w:pPr>
      <w:r w:rsidRPr="001D1B54">
        <w:rPr>
          <w:rFonts w:asciiTheme="minorHAnsi" w:hAnsiTheme="minorHAnsi"/>
          <w:sz w:val="22"/>
          <w:szCs w:val="22"/>
        </w:rPr>
        <w:t>Jonung</w:t>
      </w:r>
      <w:r w:rsidR="005D521C" w:rsidRPr="001D1B54">
        <w:rPr>
          <w:rFonts w:asciiTheme="minorHAnsi" w:hAnsiTheme="minorHAnsi"/>
          <w:sz w:val="22"/>
          <w:szCs w:val="22"/>
        </w:rPr>
        <w:t>, Lars,</w:t>
      </w:r>
      <w:r w:rsidRPr="001D1B54">
        <w:rPr>
          <w:rFonts w:asciiTheme="minorHAnsi" w:hAnsiTheme="minorHAnsi"/>
          <w:sz w:val="22"/>
          <w:szCs w:val="22"/>
        </w:rPr>
        <w:t xml:space="preserve"> and Eoin Drea. 2009. “The Euro: It Can’t Happen, It’s a Bad Idea, It Won’t Last. U.S. Economists on the EMU 1989-2002."</w:t>
      </w:r>
      <w:r w:rsidRPr="001D1B54">
        <w:rPr>
          <w:rFonts w:asciiTheme="minorHAnsi" w:hAnsiTheme="minorHAnsi"/>
          <w:color w:val="000000"/>
          <w:sz w:val="22"/>
          <w:szCs w:val="22"/>
          <w:shd w:val="clear" w:color="auto" w:fill="FFFFFF"/>
        </w:rPr>
        <w:t xml:space="preserve"> </w:t>
      </w:r>
      <w:r w:rsidRPr="001D1B54">
        <w:rPr>
          <w:rFonts w:asciiTheme="minorHAnsi" w:hAnsiTheme="minorHAnsi"/>
          <w:i/>
          <w:color w:val="000000"/>
          <w:sz w:val="22"/>
          <w:szCs w:val="22"/>
          <w:shd w:val="clear" w:color="auto" w:fill="FFFFFF"/>
        </w:rPr>
        <w:t>European Economy</w:t>
      </w:r>
      <w:r w:rsidRPr="001D1B54">
        <w:rPr>
          <w:rFonts w:asciiTheme="minorHAnsi" w:hAnsiTheme="minorHAnsi"/>
          <w:color w:val="000000"/>
          <w:sz w:val="22"/>
          <w:szCs w:val="22"/>
          <w:shd w:val="clear" w:color="auto" w:fill="FFFFFF"/>
        </w:rPr>
        <w:t>. Economic Papers</w:t>
      </w:r>
      <w:r w:rsidRPr="001D1B54">
        <w:rPr>
          <w:rStyle w:val="apple-converted-space"/>
          <w:rFonts w:asciiTheme="minorHAnsi" w:hAnsiTheme="minorHAnsi"/>
          <w:color w:val="000000"/>
          <w:sz w:val="22"/>
          <w:szCs w:val="22"/>
          <w:shd w:val="clear" w:color="auto" w:fill="FFFFFF"/>
        </w:rPr>
        <w:t> </w:t>
      </w:r>
      <w:r w:rsidRPr="001D1B54">
        <w:rPr>
          <w:rStyle w:val="Strong"/>
          <w:rFonts w:asciiTheme="minorHAnsi" w:hAnsiTheme="minorHAnsi"/>
          <w:b w:val="0"/>
          <w:color w:val="000000"/>
          <w:sz w:val="22"/>
          <w:szCs w:val="22"/>
          <w:shd w:val="clear" w:color="auto" w:fill="FFFFFF"/>
        </w:rPr>
        <w:t>395</w:t>
      </w:r>
      <w:r w:rsidRPr="001D1B54">
        <w:rPr>
          <w:rFonts w:asciiTheme="minorHAnsi" w:hAnsiTheme="minorHAnsi"/>
          <w:b/>
          <w:color w:val="000000"/>
          <w:sz w:val="22"/>
          <w:szCs w:val="22"/>
          <w:shd w:val="clear" w:color="auto" w:fill="FFFFFF"/>
        </w:rPr>
        <w:t>.</w:t>
      </w:r>
      <w:r w:rsidRPr="001D1B54">
        <w:rPr>
          <w:rFonts w:asciiTheme="minorHAnsi" w:hAnsiTheme="minorHAnsi"/>
          <w:color w:val="000000"/>
          <w:sz w:val="22"/>
          <w:szCs w:val="22"/>
          <w:shd w:val="clear" w:color="auto" w:fill="FFFFFF"/>
        </w:rPr>
        <w:t xml:space="preserve"> Dec. (Brussels)</w:t>
      </w:r>
      <w:r w:rsidRPr="001D1B54">
        <w:rPr>
          <w:rFonts w:asciiTheme="minorHAnsi" w:hAnsiTheme="minorHAnsi"/>
          <w:sz w:val="22"/>
          <w:szCs w:val="22"/>
        </w:rPr>
        <w:t>.</w:t>
      </w:r>
    </w:p>
    <w:p w:rsidR="008811FB" w:rsidRPr="001D1B54" w:rsidRDefault="00B61123" w:rsidP="002B6DAC">
      <w:pPr>
        <w:ind w:left="720" w:hanging="720"/>
        <w:rPr>
          <w:rFonts w:asciiTheme="minorHAnsi" w:hAnsiTheme="minorHAnsi"/>
          <w:sz w:val="22"/>
          <w:szCs w:val="22"/>
        </w:rPr>
      </w:pPr>
      <w:r w:rsidRPr="001D1B54">
        <w:rPr>
          <w:rFonts w:asciiTheme="minorHAnsi" w:hAnsiTheme="minorHAnsi"/>
          <w:sz w:val="22"/>
          <w:szCs w:val="22"/>
        </w:rPr>
        <w:t xml:space="preserve">Shambaugh, Jay. 2012. “The Euro’s Three Crises.” </w:t>
      </w:r>
      <w:r w:rsidRPr="001D1B54">
        <w:rPr>
          <w:rFonts w:asciiTheme="minorHAnsi" w:hAnsiTheme="minorHAnsi"/>
          <w:i/>
          <w:sz w:val="22"/>
          <w:szCs w:val="22"/>
        </w:rPr>
        <w:t>Brookings Papers on Economic Activity</w:t>
      </w:r>
      <w:r w:rsidRPr="001D1B54">
        <w:rPr>
          <w:rFonts w:asciiTheme="minorHAnsi" w:hAnsiTheme="minorHAnsi"/>
          <w:sz w:val="22"/>
          <w:szCs w:val="22"/>
        </w:rPr>
        <w:t>, no. 2, Spring.</w:t>
      </w:r>
      <w:r w:rsidR="003B7276" w:rsidRPr="001D1B54">
        <w:rPr>
          <w:rFonts w:asciiTheme="minorHAnsi" w:hAnsiTheme="minorHAnsi"/>
          <w:sz w:val="22"/>
          <w:szCs w:val="22"/>
        </w:rPr>
        <w:t xml:space="preserve"> </w:t>
      </w:r>
    </w:p>
    <w:sectPr w:rsidR="008811FB" w:rsidRPr="001D1B5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56" w:rsidRDefault="00004256" w:rsidP="00004256">
      <w:r>
        <w:separator/>
      </w:r>
    </w:p>
  </w:endnote>
  <w:endnote w:type="continuationSeparator" w:id="0">
    <w:p w:rsidR="00004256" w:rsidRDefault="00004256" w:rsidP="0000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616861"/>
      <w:docPartObj>
        <w:docPartGallery w:val="Page Numbers (Bottom of Page)"/>
        <w:docPartUnique/>
      </w:docPartObj>
    </w:sdtPr>
    <w:sdtEndPr>
      <w:rPr>
        <w:noProof/>
      </w:rPr>
    </w:sdtEndPr>
    <w:sdtContent>
      <w:p w:rsidR="006109F3" w:rsidRDefault="006109F3">
        <w:pPr>
          <w:pStyle w:val="Footer"/>
          <w:jc w:val="right"/>
        </w:pPr>
        <w:r>
          <w:fldChar w:fldCharType="begin"/>
        </w:r>
        <w:r>
          <w:instrText xml:space="preserve"> PAGE   \* MERGEFORMAT </w:instrText>
        </w:r>
        <w:r>
          <w:fldChar w:fldCharType="separate"/>
        </w:r>
        <w:r w:rsidR="005D7A65">
          <w:rPr>
            <w:noProof/>
          </w:rPr>
          <w:t>4</w:t>
        </w:r>
        <w:r>
          <w:rPr>
            <w:noProof/>
          </w:rPr>
          <w:fldChar w:fldCharType="end"/>
        </w:r>
      </w:p>
    </w:sdtContent>
  </w:sdt>
  <w:p w:rsidR="006109F3" w:rsidRDefault="00610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56" w:rsidRDefault="00004256" w:rsidP="00004256">
      <w:r>
        <w:separator/>
      </w:r>
    </w:p>
  </w:footnote>
  <w:footnote w:type="continuationSeparator" w:id="0">
    <w:p w:rsidR="00004256" w:rsidRDefault="00004256" w:rsidP="00004256">
      <w:r>
        <w:continuationSeparator/>
      </w:r>
    </w:p>
  </w:footnote>
  <w:footnote w:id="1">
    <w:p w:rsidR="003B7276" w:rsidRDefault="003B7276" w:rsidP="003B7276">
      <w:pPr>
        <w:pStyle w:val="FootnoteText"/>
      </w:pPr>
      <w:r w:rsidRPr="005D521C">
        <w:rPr>
          <w:rStyle w:val="FootnoteReference"/>
          <w:rFonts w:asciiTheme="minorHAnsi" w:hAnsiTheme="minorHAnsi"/>
        </w:rPr>
        <w:footnoteRef/>
      </w:r>
      <w:r w:rsidRPr="005D521C">
        <w:rPr>
          <w:rFonts w:asciiTheme="minorHAnsi" w:hAnsiTheme="minorHAnsi"/>
        </w:rPr>
        <w:t xml:space="preserve"> Jonung and Drea (2009).</w:t>
      </w:r>
    </w:p>
  </w:footnote>
  <w:footnote w:id="2">
    <w:p w:rsidR="005D521C" w:rsidRPr="005D521C" w:rsidRDefault="005D521C">
      <w:pPr>
        <w:pStyle w:val="FootnoteText"/>
        <w:rPr>
          <w:rFonts w:asciiTheme="minorHAnsi" w:hAnsiTheme="minorHAnsi"/>
        </w:rPr>
      </w:pPr>
      <w:r w:rsidRPr="005D521C">
        <w:rPr>
          <w:rStyle w:val="FootnoteReference"/>
          <w:rFonts w:asciiTheme="minorHAnsi" w:hAnsiTheme="minorHAnsi"/>
        </w:rPr>
        <w:footnoteRef/>
      </w:r>
      <w:r w:rsidRPr="005D521C">
        <w:rPr>
          <w:rFonts w:asciiTheme="minorHAnsi" w:hAnsiTheme="minorHAnsi"/>
        </w:rPr>
        <w:t xml:space="preserve"> Feldstein (1997).</w:t>
      </w:r>
    </w:p>
  </w:footnote>
  <w:footnote w:id="3">
    <w:p w:rsidR="005D521C" w:rsidRPr="005D521C" w:rsidRDefault="005D521C">
      <w:pPr>
        <w:pStyle w:val="FootnoteText"/>
        <w:rPr>
          <w:rFonts w:asciiTheme="minorHAnsi" w:hAnsiTheme="minorHAnsi"/>
        </w:rPr>
      </w:pPr>
      <w:r w:rsidRPr="005D521C">
        <w:rPr>
          <w:rStyle w:val="FootnoteReference"/>
          <w:rFonts w:asciiTheme="minorHAnsi" w:hAnsiTheme="minorHAnsi"/>
        </w:rPr>
        <w:footnoteRef/>
      </w:r>
      <w:r w:rsidRPr="005D521C">
        <w:rPr>
          <w:rFonts w:asciiTheme="minorHAnsi" w:hAnsiTheme="minorHAnsi"/>
        </w:rPr>
        <w:t xml:space="preserve"> </w:t>
      </w:r>
      <w:r w:rsidRPr="005D521C">
        <w:rPr>
          <w:rFonts w:asciiTheme="minorHAnsi" w:hAnsiTheme="minorHAnsi" w:cs="Arial"/>
          <w:color w:val="333333"/>
        </w:rPr>
        <w:t>Ellis (2015).</w:t>
      </w:r>
    </w:p>
  </w:footnote>
  <w:footnote w:id="4">
    <w:p w:rsidR="005D521C" w:rsidRPr="005D521C" w:rsidRDefault="005D521C" w:rsidP="005D521C">
      <w:pPr>
        <w:pStyle w:val="FootnoteText"/>
        <w:rPr>
          <w:rFonts w:asciiTheme="minorHAnsi" w:hAnsiTheme="minorHAnsi"/>
        </w:rPr>
      </w:pPr>
      <w:r w:rsidRPr="005D521C">
        <w:rPr>
          <w:rStyle w:val="FootnoteReference"/>
          <w:rFonts w:asciiTheme="minorHAnsi" w:hAnsiTheme="minorHAnsi"/>
        </w:rPr>
        <w:footnoteRef/>
      </w:r>
      <w:r w:rsidRPr="005D521C">
        <w:rPr>
          <w:rFonts w:asciiTheme="minorHAnsi" w:hAnsiTheme="minorHAnsi"/>
        </w:rPr>
        <w:t xml:space="preserve"> Shambaugh (2012); Frankel (2015).</w:t>
      </w:r>
    </w:p>
  </w:footnote>
  <w:footnote w:id="5">
    <w:p w:rsidR="008811FB" w:rsidRPr="005D521C" w:rsidRDefault="008811FB" w:rsidP="008811FB">
      <w:pPr>
        <w:pStyle w:val="FootnoteText"/>
        <w:rPr>
          <w:rFonts w:asciiTheme="minorHAnsi" w:hAnsiTheme="minorHAnsi"/>
        </w:rPr>
      </w:pPr>
      <w:r w:rsidRPr="005D521C">
        <w:rPr>
          <w:rStyle w:val="FootnoteReference"/>
          <w:rFonts w:asciiTheme="minorHAnsi" w:hAnsiTheme="minorHAnsi"/>
        </w:rPr>
        <w:footnoteRef/>
      </w:r>
      <w:r w:rsidRPr="005D521C">
        <w:rPr>
          <w:rFonts w:asciiTheme="minorHAnsi" w:hAnsiTheme="minorHAnsi"/>
        </w:rPr>
        <w:t xml:space="preserve"> E.g., Buiter, Corsetti and Roubini (1993); Frankel (1993);  Beetsma and Uhlig (1999).</w:t>
      </w:r>
    </w:p>
  </w:footnote>
  <w:footnote w:id="6">
    <w:p w:rsidR="00557371" w:rsidRDefault="00557371" w:rsidP="00557371">
      <w:pPr>
        <w:pStyle w:val="FootnoteText"/>
      </w:pPr>
      <w:r w:rsidRPr="005D521C">
        <w:rPr>
          <w:rStyle w:val="FootnoteReference"/>
          <w:rFonts w:asciiTheme="minorHAnsi" w:hAnsiTheme="minorHAnsi"/>
        </w:rPr>
        <w:footnoteRef/>
      </w:r>
      <w:r w:rsidRPr="005D521C">
        <w:rPr>
          <w:rFonts w:asciiTheme="minorHAnsi" w:hAnsiTheme="minorHAnsi"/>
        </w:rPr>
        <w:t xml:space="preserve"> E.g., Feldstein (2005).</w:t>
      </w:r>
    </w:p>
  </w:footnote>
  <w:footnote w:id="7">
    <w:p w:rsidR="00894544" w:rsidRPr="00894544" w:rsidRDefault="00894544">
      <w:pPr>
        <w:pStyle w:val="FootnoteText"/>
        <w:rPr>
          <w:rFonts w:asciiTheme="minorHAnsi" w:hAnsiTheme="minorHAnsi"/>
        </w:rPr>
      </w:pPr>
      <w:r w:rsidRPr="00894544">
        <w:rPr>
          <w:rStyle w:val="FootnoteReference"/>
          <w:rFonts w:asciiTheme="minorHAnsi" w:hAnsiTheme="minorHAnsi"/>
        </w:rPr>
        <w:footnoteRef/>
      </w:r>
      <w:r w:rsidRPr="00894544">
        <w:rPr>
          <w:rFonts w:asciiTheme="minorHAnsi" w:hAnsiTheme="minorHAnsi"/>
        </w:rPr>
        <w:t xml:space="preserve"> Frankel and Schreger (2013).</w:t>
      </w:r>
    </w:p>
  </w:footnote>
  <w:footnote w:id="8">
    <w:p w:rsidR="00C335AD" w:rsidRDefault="00C335AD">
      <w:pPr>
        <w:pStyle w:val="FootnoteText"/>
      </w:pPr>
      <w:r>
        <w:rPr>
          <w:rStyle w:val="FootnoteReference"/>
        </w:rPr>
        <w:footnoteRef/>
      </w:r>
      <w:r>
        <w:t xml:space="preserve"> </w:t>
      </w:r>
      <w:r w:rsidRPr="00CB4F9D">
        <w:rPr>
          <w:rFonts w:asciiTheme="minorHAnsi" w:hAnsiTheme="minorHAnsi"/>
        </w:rPr>
        <w:t>B</w:t>
      </w:r>
      <w:r w:rsidRPr="00C335AD">
        <w:rPr>
          <w:rFonts w:asciiTheme="minorHAnsi" w:hAnsiTheme="minorHAnsi" w:cs="Arial"/>
          <w:color w:val="222222"/>
        </w:rPr>
        <w:t xml:space="preserve">ayoumi, </w:t>
      </w:r>
      <w:r>
        <w:rPr>
          <w:rFonts w:asciiTheme="minorHAnsi" w:hAnsiTheme="minorHAnsi" w:cs="Arial"/>
          <w:color w:val="222222"/>
        </w:rPr>
        <w:t xml:space="preserve">Goldstein and </w:t>
      </w:r>
      <w:r w:rsidRPr="00C335AD">
        <w:rPr>
          <w:rFonts w:asciiTheme="minorHAnsi" w:hAnsiTheme="minorHAnsi" w:cs="Arial"/>
          <w:color w:val="222222"/>
        </w:rPr>
        <w:t>Woglom</w:t>
      </w:r>
      <w:r>
        <w:rPr>
          <w:rFonts w:asciiTheme="minorHAnsi" w:hAnsiTheme="minorHAnsi" w:cs="Arial"/>
          <w:color w:val="222222"/>
        </w:rPr>
        <w:t xml:space="preserve"> (1995).</w:t>
      </w:r>
    </w:p>
  </w:footnote>
  <w:footnote w:id="9">
    <w:p w:rsidR="00CD6C48" w:rsidRPr="00B72420" w:rsidRDefault="00CD6C48" w:rsidP="00CD6C48">
      <w:pPr>
        <w:pStyle w:val="FootnoteText"/>
        <w:rPr>
          <w:rFonts w:asciiTheme="minorHAnsi" w:hAnsiTheme="minorHAnsi"/>
        </w:rPr>
      </w:pPr>
      <w:r w:rsidRPr="00B72420">
        <w:rPr>
          <w:rStyle w:val="FootnoteReference"/>
          <w:rFonts w:asciiTheme="minorHAnsi" w:hAnsiTheme="minorHAnsi"/>
        </w:rPr>
        <w:footnoteRef/>
      </w:r>
      <w:r w:rsidRPr="00B72420">
        <w:rPr>
          <w:rFonts w:asciiTheme="minorHAnsi" w:hAnsiTheme="minorHAnsi"/>
        </w:rPr>
        <w:t xml:space="preserve"> In the case of the United States, the important precedent was the decision to let 8 states (plus Florida, then a territory) default on their debts in 1841-42 rather than bail them out.  Partly as a result, nobody expects the federal government to bail out Illinois when it gets over-indebted</w:t>
      </w:r>
      <w:r w:rsidR="00F21541">
        <w:rPr>
          <w:rFonts w:asciiTheme="minorHAnsi" w:hAnsiTheme="minorHAnsi"/>
        </w:rPr>
        <w:t xml:space="preserve"> today</w:t>
      </w:r>
      <w:r w:rsidRPr="00B72420">
        <w:rPr>
          <w:rFonts w:asciiTheme="minorHAnsi" w:hAnsiTheme="minorHAnsi"/>
        </w:rPr>
        <w:t>.</w:t>
      </w:r>
    </w:p>
  </w:footnote>
  <w:footnote w:id="10">
    <w:p w:rsidR="00772492" w:rsidRPr="00772492" w:rsidRDefault="00772492">
      <w:pPr>
        <w:pStyle w:val="FootnoteText"/>
        <w:rPr>
          <w:rFonts w:asciiTheme="minorHAnsi" w:hAnsiTheme="minorHAnsi"/>
        </w:rPr>
      </w:pPr>
      <w:r w:rsidRPr="00772492">
        <w:rPr>
          <w:rStyle w:val="FootnoteReference"/>
          <w:rFonts w:asciiTheme="minorHAnsi" w:hAnsiTheme="minorHAnsi"/>
        </w:rPr>
        <w:footnoteRef/>
      </w:r>
      <w:r w:rsidRPr="00772492">
        <w:rPr>
          <w:rFonts w:asciiTheme="minorHAnsi" w:hAnsiTheme="minorHAnsi"/>
        </w:rPr>
        <w:t xml:space="preserve"> Blanchard and Leigh (2013).</w:t>
      </w:r>
    </w:p>
  </w:footnote>
  <w:footnote w:id="11">
    <w:p w:rsidR="00984D32" w:rsidRPr="00984D32" w:rsidRDefault="00984D32">
      <w:pPr>
        <w:pStyle w:val="FootnoteText"/>
        <w:rPr>
          <w:rFonts w:asciiTheme="minorHAnsi" w:hAnsiTheme="minorHAnsi"/>
        </w:rPr>
      </w:pPr>
      <w:r w:rsidRPr="00984D32">
        <w:rPr>
          <w:rStyle w:val="FootnoteReference"/>
          <w:rFonts w:asciiTheme="minorHAnsi" w:hAnsiTheme="minorHAnsi"/>
        </w:rPr>
        <w:footnoteRef/>
      </w:r>
      <w:r w:rsidRPr="00984D32">
        <w:rPr>
          <w:rFonts w:asciiTheme="minorHAnsi" w:hAnsiTheme="minorHAnsi"/>
        </w:rPr>
        <w:t xml:space="preserve"> </w:t>
      </w:r>
      <w:r w:rsidRPr="00984D32">
        <w:rPr>
          <w:rFonts w:asciiTheme="minorHAnsi" w:hAnsiTheme="minorHAnsi"/>
          <w:color w:val="000000"/>
          <w:shd w:val="clear" w:color="auto" w:fill="FAFAFA"/>
        </w:rPr>
        <w:t>Eichengreen and Panizza (2014) find from the historical record that the large p</w:t>
      </w:r>
      <w:r w:rsidRPr="00984D32">
        <w:rPr>
          <w:rFonts w:asciiTheme="minorHAnsi" w:hAnsiTheme="minorHAnsi"/>
        </w:rPr>
        <w:t>rimary surpluses envisioned by the Troika for the periphery countries over the next ten years are unlikely to be achievable.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55DA"/>
    <w:multiLevelType w:val="multilevel"/>
    <w:tmpl w:val="8CF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A5608"/>
    <w:multiLevelType w:val="multilevel"/>
    <w:tmpl w:val="763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B08C4"/>
    <w:multiLevelType w:val="multilevel"/>
    <w:tmpl w:val="FE5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D0C3C"/>
    <w:multiLevelType w:val="hybridMultilevel"/>
    <w:tmpl w:val="1A84938A"/>
    <w:lvl w:ilvl="0" w:tplc="0409000F">
      <w:start w:val="1"/>
      <w:numFmt w:val="decimal"/>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52F1E"/>
    <w:multiLevelType w:val="hybridMultilevel"/>
    <w:tmpl w:val="7E02B3BC"/>
    <w:lvl w:ilvl="0" w:tplc="DCCE73C2">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49"/>
    <w:rsid w:val="00003AA6"/>
    <w:rsid w:val="00004256"/>
    <w:rsid w:val="000A3EB7"/>
    <w:rsid w:val="000B0F09"/>
    <w:rsid w:val="000C3849"/>
    <w:rsid w:val="00101CDF"/>
    <w:rsid w:val="001109F0"/>
    <w:rsid w:val="00121DCA"/>
    <w:rsid w:val="00186D33"/>
    <w:rsid w:val="001D1B54"/>
    <w:rsid w:val="00270A80"/>
    <w:rsid w:val="00275719"/>
    <w:rsid w:val="002979D8"/>
    <w:rsid w:val="002B6DAC"/>
    <w:rsid w:val="003112F5"/>
    <w:rsid w:val="003865CC"/>
    <w:rsid w:val="003B2DBD"/>
    <w:rsid w:val="003B7276"/>
    <w:rsid w:val="003C61FA"/>
    <w:rsid w:val="004555DD"/>
    <w:rsid w:val="004659A0"/>
    <w:rsid w:val="00471FD2"/>
    <w:rsid w:val="00516831"/>
    <w:rsid w:val="00552270"/>
    <w:rsid w:val="00557371"/>
    <w:rsid w:val="005D521C"/>
    <w:rsid w:val="005D7A65"/>
    <w:rsid w:val="006109F3"/>
    <w:rsid w:val="00633BA6"/>
    <w:rsid w:val="006345E5"/>
    <w:rsid w:val="00665B78"/>
    <w:rsid w:val="00671E67"/>
    <w:rsid w:val="00680611"/>
    <w:rsid w:val="006928C1"/>
    <w:rsid w:val="00750285"/>
    <w:rsid w:val="00772492"/>
    <w:rsid w:val="007B08FE"/>
    <w:rsid w:val="00816C0F"/>
    <w:rsid w:val="008272D8"/>
    <w:rsid w:val="008811FB"/>
    <w:rsid w:val="00894544"/>
    <w:rsid w:val="00926D06"/>
    <w:rsid w:val="00952551"/>
    <w:rsid w:val="00984D32"/>
    <w:rsid w:val="00985BC4"/>
    <w:rsid w:val="009D4509"/>
    <w:rsid w:val="009E0193"/>
    <w:rsid w:val="009E67D9"/>
    <w:rsid w:val="00A853F1"/>
    <w:rsid w:val="00B61123"/>
    <w:rsid w:val="00B65358"/>
    <w:rsid w:val="00B65B88"/>
    <w:rsid w:val="00B72420"/>
    <w:rsid w:val="00B93D0F"/>
    <w:rsid w:val="00BF29EE"/>
    <w:rsid w:val="00C335AD"/>
    <w:rsid w:val="00C669FA"/>
    <w:rsid w:val="00C747FB"/>
    <w:rsid w:val="00C77F36"/>
    <w:rsid w:val="00CB4F9D"/>
    <w:rsid w:val="00CD6C48"/>
    <w:rsid w:val="00D3332A"/>
    <w:rsid w:val="00D45F5E"/>
    <w:rsid w:val="00D95EA1"/>
    <w:rsid w:val="00DB33A3"/>
    <w:rsid w:val="00DD27A4"/>
    <w:rsid w:val="00E318A1"/>
    <w:rsid w:val="00F21541"/>
    <w:rsid w:val="00F2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49"/>
    <w:pPr>
      <w:spacing w:after="0" w:line="240" w:lineRule="auto"/>
    </w:pPr>
    <w:rPr>
      <w:rFonts w:ascii="Calibri" w:hAnsi="Calibri" w:cs="Times New Roman"/>
      <w:sz w:val="24"/>
      <w:szCs w:val="24"/>
    </w:rPr>
  </w:style>
  <w:style w:type="paragraph" w:styleId="Heading1">
    <w:name w:val="heading 1"/>
    <w:basedOn w:val="Normal"/>
    <w:link w:val="Heading1Char"/>
    <w:uiPriority w:val="9"/>
    <w:qFormat/>
    <w:rsid w:val="00C335A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849"/>
    <w:pPr>
      <w:spacing w:after="200" w:line="276" w:lineRule="auto"/>
      <w:ind w:left="720"/>
      <w:contextualSpacing/>
    </w:pPr>
    <w:rPr>
      <w:sz w:val="22"/>
      <w:szCs w:val="22"/>
    </w:rPr>
  </w:style>
  <w:style w:type="paragraph" w:styleId="EndnoteText">
    <w:name w:val="endnote text"/>
    <w:basedOn w:val="Normal"/>
    <w:link w:val="EndnoteTextChar"/>
    <w:uiPriority w:val="99"/>
    <w:semiHidden/>
    <w:unhideWhenUsed/>
    <w:rsid w:val="00004256"/>
    <w:rPr>
      <w:sz w:val="20"/>
      <w:szCs w:val="20"/>
    </w:rPr>
  </w:style>
  <w:style w:type="character" w:customStyle="1" w:styleId="EndnoteTextChar">
    <w:name w:val="Endnote Text Char"/>
    <w:basedOn w:val="DefaultParagraphFont"/>
    <w:link w:val="EndnoteText"/>
    <w:uiPriority w:val="99"/>
    <w:semiHidden/>
    <w:rsid w:val="00004256"/>
    <w:rPr>
      <w:rFonts w:ascii="Calibri" w:hAnsi="Calibri" w:cs="Times New Roman"/>
      <w:sz w:val="20"/>
      <w:szCs w:val="20"/>
    </w:rPr>
  </w:style>
  <w:style w:type="character" w:styleId="EndnoteReference">
    <w:name w:val="endnote reference"/>
    <w:basedOn w:val="DefaultParagraphFont"/>
    <w:uiPriority w:val="99"/>
    <w:semiHidden/>
    <w:unhideWhenUsed/>
    <w:rsid w:val="00004256"/>
    <w:rPr>
      <w:vertAlign w:val="superscript"/>
    </w:rPr>
  </w:style>
  <w:style w:type="paragraph" w:customStyle="1" w:styleId="nitf">
    <w:name w:val="nitf"/>
    <w:basedOn w:val="Normal"/>
    <w:rsid w:val="00004256"/>
    <w:pPr>
      <w:spacing w:before="100" w:beforeAutospacing="1" w:after="100" w:afterAutospacing="1"/>
    </w:pPr>
    <w:rPr>
      <w:rFonts w:ascii="Times New Roman" w:eastAsia="Times New Roman" w:hAnsi="Times New Roman"/>
    </w:rPr>
  </w:style>
  <w:style w:type="paragraph" w:customStyle="1" w:styleId="summary">
    <w:name w:val="summary"/>
    <w:basedOn w:val="Normal"/>
    <w:rsid w:val="00004256"/>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A853F1"/>
  </w:style>
  <w:style w:type="character" w:styleId="Strong">
    <w:name w:val="Strong"/>
    <w:uiPriority w:val="22"/>
    <w:qFormat/>
    <w:rsid w:val="006928C1"/>
    <w:rPr>
      <w:b/>
      <w:bCs/>
    </w:rPr>
  </w:style>
  <w:style w:type="paragraph" w:styleId="FootnoteText">
    <w:name w:val="footnote text"/>
    <w:basedOn w:val="Normal"/>
    <w:link w:val="FootnoteTextChar"/>
    <w:semiHidden/>
    <w:rsid w:val="008811FB"/>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8811FB"/>
    <w:rPr>
      <w:rFonts w:ascii="Times New Roman" w:eastAsia="Times New Roman" w:hAnsi="Times New Roman" w:cs="Times New Roman"/>
      <w:sz w:val="20"/>
      <w:szCs w:val="20"/>
    </w:rPr>
  </w:style>
  <w:style w:type="character" w:styleId="FootnoteReference">
    <w:name w:val="footnote reference"/>
    <w:semiHidden/>
    <w:rsid w:val="008811FB"/>
    <w:rPr>
      <w:vertAlign w:val="superscript"/>
    </w:rPr>
  </w:style>
  <w:style w:type="character" w:styleId="Hyperlink">
    <w:name w:val="Hyperlink"/>
    <w:basedOn w:val="DefaultParagraphFont"/>
    <w:uiPriority w:val="99"/>
    <w:unhideWhenUsed/>
    <w:rsid w:val="00B61123"/>
    <w:rPr>
      <w:color w:val="0000FF"/>
      <w:u w:val="single"/>
    </w:rPr>
  </w:style>
  <w:style w:type="paragraph" w:styleId="Header">
    <w:name w:val="header"/>
    <w:basedOn w:val="Normal"/>
    <w:link w:val="HeaderChar"/>
    <w:uiPriority w:val="99"/>
    <w:unhideWhenUsed/>
    <w:rsid w:val="005D521C"/>
    <w:pPr>
      <w:tabs>
        <w:tab w:val="center" w:pos="4680"/>
        <w:tab w:val="right" w:pos="9360"/>
      </w:tabs>
    </w:pPr>
  </w:style>
  <w:style w:type="character" w:customStyle="1" w:styleId="HeaderChar">
    <w:name w:val="Header Char"/>
    <w:basedOn w:val="DefaultParagraphFont"/>
    <w:link w:val="Header"/>
    <w:uiPriority w:val="99"/>
    <w:rsid w:val="005D521C"/>
    <w:rPr>
      <w:rFonts w:ascii="Calibri" w:hAnsi="Calibri" w:cs="Times New Roman"/>
      <w:sz w:val="24"/>
      <w:szCs w:val="24"/>
    </w:rPr>
  </w:style>
  <w:style w:type="paragraph" w:styleId="Footer">
    <w:name w:val="footer"/>
    <w:basedOn w:val="Normal"/>
    <w:link w:val="FooterChar"/>
    <w:uiPriority w:val="99"/>
    <w:unhideWhenUsed/>
    <w:rsid w:val="005D521C"/>
    <w:pPr>
      <w:tabs>
        <w:tab w:val="center" w:pos="4680"/>
        <w:tab w:val="right" w:pos="9360"/>
      </w:tabs>
    </w:pPr>
  </w:style>
  <w:style w:type="character" w:customStyle="1" w:styleId="FooterChar">
    <w:name w:val="Footer Char"/>
    <w:basedOn w:val="DefaultParagraphFont"/>
    <w:link w:val="Footer"/>
    <w:uiPriority w:val="99"/>
    <w:rsid w:val="005D521C"/>
    <w:rPr>
      <w:rFonts w:ascii="Calibri" w:hAnsi="Calibri" w:cs="Times New Roman"/>
      <w:sz w:val="24"/>
      <w:szCs w:val="24"/>
    </w:rPr>
  </w:style>
  <w:style w:type="paragraph" w:styleId="NormalWeb">
    <w:name w:val="Normal (Web)"/>
    <w:basedOn w:val="Normal"/>
    <w:uiPriority w:val="99"/>
    <w:semiHidden/>
    <w:unhideWhenUsed/>
    <w:rsid w:val="00C747FB"/>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72420"/>
    <w:rPr>
      <w:rFonts w:ascii="Tahoma" w:hAnsi="Tahoma" w:cs="Tahoma"/>
      <w:sz w:val="16"/>
      <w:szCs w:val="16"/>
    </w:rPr>
  </w:style>
  <w:style w:type="character" w:customStyle="1" w:styleId="BalloonTextChar">
    <w:name w:val="Balloon Text Char"/>
    <w:basedOn w:val="DefaultParagraphFont"/>
    <w:link w:val="BalloonText"/>
    <w:uiPriority w:val="99"/>
    <w:semiHidden/>
    <w:rsid w:val="00B72420"/>
    <w:rPr>
      <w:rFonts w:ascii="Tahoma" w:hAnsi="Tahoma" w:cs="Tahoma"/>
      <w:sz w:val="16"/>
      <w:szCs w:val="16"/>
    </w:rPr>
  </w:style>
  <w:style w:type="character" w:customStyle="1" w:styleId="Heading1Char">
    <w:name w:val="Heading 1 Char"/>
    <w:basedOn w:val="DefaultParagraphFont"/>
    <w:link w:val="Heading1"/>
    <w:uiPriority w:val="9"/>
    <w:rsid w:val="00C335AD"/>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C335AD"/>
    <w:rPr>
      <w:i/>
      <w:iCs/>
    </w:rPr>
  </w:style>
  <w:style w:type="character" w:styleId="Emphasis">
    <w:name w:val="Emphasis"/>
    <w:basedOn w:val="DefaultParagraphFont"/>
    <w:uiPriority w:val="20"/>
    <w:qFormat/>
    <w:rsid w:val="006806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49"/>
    <w:pPr>
      <w:spacing w:after="0" w:line="240" w:lineRule="auto"/>
    </w:pPr>
    <w:rPr>
      <w:rFonts w:ascii="Calibri" w:hAnsi="Calibri" w:cs="Times New Roman"/>
      <w:sz w:val="24"/>
      <w:szCs w:val="24"/>
    </w:rPr>
  </w:style>
  <w:style w:type="paragraph" w:styleId="Heading1">
    <w:name w:val="heading 1"/>
    <w:basedOn w:val="Normal"/>
    <w:link w:val="Heading1Char"/>
    <w:uiPriority w:val="9"/>
    <w:qFormat/>
    <w:rsid w:val="00C335A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849"/>
    <w:pPr>
      <w:spacing w:after="200" w:line="276" w:lineRule="auto"/>
      <w:ind w:left="720"/>
      <w:contextualSpacing/>
    </w:pPr>
    <w:rPr>
      <w:sz w:val="22"/>
      <w:szCs w:val="22"/>
    </w:rPr>
  </w:style>
  <w:style w:type="paragraph" w:styleId="EndnoteText">
    <w:name w:val="endnote text"/>
    <w:basedOn w:val="Normal"/>
    <w:link w:val="EndnoteTextChar"/>
    <w:uiPriority w:val="99"/>
    <w:semiHidden/>
    <w:unhideWhenUsed/>
    <w:rsid w:val="00004256"/>
    <w:rPr>
      <w:sz w:val="20"/>
      <w:szCs w:val="20"/>
    </w:rPr>
  </w:style>
  <w:style w:type="character" w:customStyle="1" w:styleId="EndnoteTextChar">
    <w:name w:val="Endnote Text Char"/>
    <w:basedOn w:val="DefaultParagraphFont"/>
    <w:link w:val="EndnoteText"/>
    <w:uiPriority w:val="99"/>
    <w:semiHidden/>
    <w:rsid w:val="00004256"/>
    <w:rPr>
      <w:rFonts w:ascii="Calibri" w:hAnsi="Calibri" w:cs="Times New Roman"/>
      <w:sz w:val="20"/>
      <w:szCs w:val="20"/>
    </w:rPr>
  </w:style>
  <w:style w:type="character" w:styleId="EndnoteReference">
    <w:name w:val="endnote reference"/>
    <w:basedOn w:val="DefaultParagraphFont"/>
    <w:uiPriority w:val="99"/>
    <w:semiHidden/>
    <w:unhideWhenUsed/>
    <w:rsid w:val="00004256"/>
    <w:rPr>
      <w:vertAlign w:val="superscript"/>
    </w:rPr>
  </w:style>
  <w:style w:type="paragraph" w:customStyle="1" w:styleId="nitf">
    <w:name w:val="nitf"/>
    <w:basedOn w:val="Normal"/>
    <w:rsid w:val="00004256"/>
    <w:pPr>
      <w:spacing w:before="100" w:beforeAutospacing="1" w:after="100" w:afterAutospacing="1"/>
    </w:pPr>
    <w:rPr>
      <w:rFonts w:ascii="Times New Roman" w:eastAsia="Times New Roman" w:hAnsi="Times New Roman"/>
    </w:rPr>
  </w:style>
  <w:style w:type="paragraph" w:customStyle="1" w:styleId="summary">
    <w:name w:val="summary"/>
    <w:basedOn w:val="Normal"/>
    <w:rsid w:val="00004256"/>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A853F1"/>
  </w:style>
  <w:style w:type="character" w:styleId="Strong">
    <w:name w:val="Strong"/>
    <w:uiPriority w:val="22"/>
    <w:qFormat/>
    <w:rsid w:val="006928C1"/>
    <w:rPr>
      <w:b/>
      <w:bCs/>
    </w:rPr>
  </w:style>
  <w:style w:type="paragraph" w:styleId="FootnoteText">
    <w:name w:val="footnote text"/>
    <w:basedOn w:val="Normal"/>
    <w:link w:val="FootnoteTextChar"/>
    <w:semiHidden/>
    <w:rsid w:val="008811FB"/>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8811FB"/>
    <w:rPr>
      <w:rFonts w:ascii="Times New Roman" w:eastAsia="Times New Roman" w:hAnsi="Times New Roman" w:cs="Times New Roman"/>
      <w:sz w:val="20"/>
      <w:szCs w:val="20"/>
    </w:rPr>
  </w:style>
  <w:style w:type="character" w:styleId="FootnoteReference">
    <w:name w:val="footnote reference"/>
    <w:semiHidden/>
    <w:rsid w:val="008811FB"/>
    <w:rPr>
      <w:vertAlign w:val="superscript"/>
    </w:rPr>
  </w:style>
  <w:style w:type="character" w:styleId="Hyperlink">
    <w:name w:val="Hyperlink"/>
    <w:basedOn w:val="DefaultParagraphFont"/>
    <w:uiPriority w:val="99"/>
    <w:unhideWhenUsed/>
    <w:rsid w:val="00B61123"/>
    <w:rPr>
      <w:color w:val="0000FF"/>
      <w:u w:val="single"/>
    </w:rPr>
  </w:style>
  <w:style w:type="paragraph" w:styleId="Header">
    <w:name w:val="header"/>
    <w:basedOn w:val="Normal"/>
    <w:link w:val="HeaderChar"/>
    <w:uiPriority w:val="99"/>
    <w:unhideWhenUsed/>
    <w:rsid w:val="005D521C"/>
    <w:pPr>
      <w:tabs>
        <w:tab w:val="center" w:pos="4680"/>
        <w:tab w:val="right" w:pos="9360"/>
      </w:tabs>
    </w:pPr>
  </w:style>
  <w:style w:type="character" w:customStyle="1" w:styleId="HeaderChar">
    <w:name w:val="Header Char"/>
    <w:basedOn w:val="DefaultParagraphFont"/>
    <w:link w:val="Header"/>
    <w:uiPriority w:val="99"/>
    <w:rsid w:val="005D521C"/>
    <w:rPr>
      <w:rFonts w:ascii="Calibri" w:hAnsi="Calibri" w:cs="Times New Roman"/>
      <w:sz w:val="24"/>
      <w:szCs w:val="24"/>
    </w:rPr>
  </w:style>
  <w:style w:type="paragraph" w:styleId="Footer">
    <w:name w:val="footer"/>
    <w:basedOn w:val="Normal"/>
    <w:link w:val="FooterChar"/>
    <w:uiPriority w:val="99"/>
    <w:unhideWhenUsed/>
    <w:rsid w:val="005D521C"/>
    <w:pPr>
      <w:tabs>
        <w:tab w:val="center" w:pos="4680"/>
        <w:tab w:val="right" w:pos="9360"/>
      </w:tabs>
    </w:pPr>
  </w:style>
  <w:style w:type="character" w:customStyle="1" w:styleId="FooterChar">
    <w:name w:val="Footer Char"/>
    <w:basedOn w:val="DefaultParagraphFont"/>
    <w:link w:val="Footer"/>
    <w:uiPriority w:val="99"/>
    <w:rsid w:val="005D521C"/>
    <w:rPr>
      <w:rFonts w:ascii="Calibri" w:hAnsi="Calibri" w:cs="Times New Roman"/>
      <w:sz w:val="24"/>
      <w:szCs w:val="24"/>
    </w:rPr>
  </w:style>
  <w:style w:type="paragraph" w:styleId="NormalWeb">
    <w:name w:val="Normal (Web)"/>
    <w:basedOn w:val="Normal"/>
    <w:uiPriority w:val="99"/>
    <w:semiHidden/>
    <w:unhideWhenUsed/>
    <w:rsid w:val="00C747FB"/>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72420"/>
    <w:rPr>
      <w:rFonts w:ascii="Tahoma" w:hAnsi="Tahoma" w:cs="Tahoma"/>
      <w:sz w:val="16"/>
      <w:szCs w:val="16"/>
    </w:rPr>
  </w:style>
  <w:style w:type="character" w:customStyle="1" w:styleId="BalloonTextChar">
    <w:name w:val="Balloon Text Char"/>
    <w:basedOn w:val="DefaultParagraphFont"/>
    <w:link w:val="BalloonText"/>
    <w:uiPriority w:val="99"/>
    <w:semiHidden/>
    <w:rsid w:val="00B72420"/>
    <w:rPr>
      <w:rFonts w:ascii="Tahoma" w:hAnsi="Tahoma" w:cs="Tahoma"/>
      <w:sz w:val="16"/>
      <w:szCs w:val="16"/>
    </w:rPr>
  </w:style>
  <w:style w:type="character" w:customStyle="1" w:styleId="Heading1Char">
    <w:name w:val="Heading 1 Char"/>
    <w:basedOn w:val="DefaultParagraphFont"/>
    <w:link w:val="Heading1"/>
    <w:uiPriority w:val="9"/>
    <w:rsid w:val="00C335AD"/>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C335AD"/>
    <w:rPr>
      <w:i/>
      <w:iCs/>
    </w:rPr>
  </w:style>
  <w:style w:type="character" w:styleId="Emphasis">
    <w:name w:val="Emphasis"/>
    <w:basedOn w:val="DefaultParagraphFont"/>
    <w:uiPriority w:val="20"/>
    <w:qFormat/>
    <w:rsid w:val="00680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5454">
      <w:bodyDiv w:val="1"/>
      <w:marLeft w:val="0"/>
      <w:marRight w:val="0"/>
      <w:marTop w:val="0"/>
      <w:marBottom w:val="0"/>
      <w:divBdr>
        <w:top w:val="none" w:sz="0" w:space="0" w:color="auto"/>
        <w:left w:val="none" w:sz="0" w:space="0" w:color="auto"/>
        <w:bottom w:val="none" w:sz="0" w:space="0" w:color="auto"/>
        <w:right w:val="none" w:sz="0" w:space="0" w:color="auto"/>
      </w:divBdr>
    </w:div>
    <w:div w:id="920871266">
      <w:bodyDiv w:val="1"/>
      <w:marLeft w:val="0"/>
      <w:marRight w:val="0"/>
      <w:marTop w:val="0"/>
      <w:marBottom w:val="0"/>
      <w:divBdr>
        <w:top w:val="none" w:sz="0" w:space="0" w:color="auto"/>
        <w:left w:val="none" w:sz="0" w:space="0" w:color="auto"/>
        <w:bottom w:val="none" w:sz="0" w:space="0" w:color="auto"/>
        <w:right w:val="none" w:sz="0" w:space="0" w:color="auto"/>
      </w:divBdr>
      <w:divsChild>
        <w:div w:id="1180657132">
          <w:marLeft w:val="0"/>
          <w:marRight w:val="0"/>
          <w:marTop w:val="0"/>
          <w:marBottom w:val="0"/>
          <w:divBdr>
            <w:top w:val="none" w:sz="0" w:space="0" w:color="auto"/>
            <w:left w:val="none" w:sz="0" w:space="0" w:color="auto"/>
            <w:bottom w:val="none" w:sz="0" w:space="0" w:color="auto"/>
            <w:right w:val="none" w:sz="0" w:space="0" w:color="auto"/>
          </w:divBdr>
        </w:div>
        <w:div w:id="1076129437">
          <w:marLeft w:val="0"/>
          <w:marRight w:val="0"/>
          <w:marTop w:val="0"/>
          <w:marBottom w:val="0"/>
          <w:divBdr>
            <w:top w:val="none" w:sz="0" w:space="0" w:color="auto"/>
            <w:left w:val="none" w:sz="0" w:space="0" w:color="auto"/>
            <w:bottom w:val="none" w:sz="0" w:space="0" w:color="auto"/>
            <w:right w:val="none" w:sz="0" w:space="0" w:color="auto"/>
          </w:divBdr>
        </w:div>
        <w:div w:id="420373746">
          <w:marLeft w:val="0"/>
          <w:marRight w:val="0"/>
          <w:marTop w:val="0"/>
          <w:marBottom w:val="0"/>
          <w:divBdr>
            <w:top w:val="none" w:sz="0" w:space="0" w:color="auto"/>
            <w:left w:val="none" w:sz="0" w:space="0" w:color="auto"/>
            <w:bottom w:val="none" w:sz="0" w:space="0" w:color="auto"/>
            <w:right w:val="none" w:sz="0" w:space="0" w:color="auto"/>
          </w:divBdr>
        </w:div>
        <w:div w:id="1138106445">
          <w:marLeft w:val="0"/>
          <w:marRight w:val="0"/>
          <w:marTop w:val="0"/>
          <w:marBottom w:val="0"/>
          <w:divBdr>
            <w:top w:val="none" w:sz="0" w:space="0" w:color="auto"/>
            <w:left w:val="none" w:sz="0" w:space="0" w:color="auto"/>
            <w:bottom w:val="none" w:sz="0" w:space="0" w:color="auto"/>
            <w:right w:val="none" w:sz="0" w:space="0" w:color="auto"/>
          </w:divBdr>
        </w:div>
      </w:divsChild>
    </w:div>
    <w:div w:id="1584412885">
      <w:bodyDiv w:val="1"/>
      <w:marLeft w:val="0"/>
      <w:marRight w:val="0"/>
      <w:marTop w:val="0"/>
      <w:marBottom w:val="0"/>
      <w:divBdr>
        <w:top w:val="none" w:sz="0" w:space="0" w:color="auto"/>
        <w:left w:val="none" w:sz="0" w:space="0" w:color="auto"/>
        <w:bottom w:val="none" w:sz="0" w:space="0" w:color="auto"/>
        <w:right w:val="none" w:sz="0" w:space="0" w:color="auto"/>
      </w:divBdr>
    </w:div>
    <w:div w:id="16437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ject-syndicate.org/commentary/the-case-against-expansionary-austerity-by-jeffrey-frank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ject-syndicate.org/blog/procyclicalists-across-the-atlantic-to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ject-syndicate.org/commentary/the-first-world-s-fiscal-foll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oxeu.org/article/greek-debt-crisis-ecb-s-three-big-mistakes" TargetMode="External"/><Relationship Id="rId4" Type="http://schemas.microsoft.com/office/2007/relationships/stylesWithEffects" Target="stylesWithEffects.xml"/><Relationship Id="rId9" Type="http://schemas.openxmlformats.org/officeDocument/2006/relationships/hyperlink" Target="http://www.voxeu.org/article/could-eurobonds-be-answer-eurozone-crisi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9FA9-138E-4469-8DFB-337D1755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20409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itfsa</cp:lastModifiedBy>
  <cp:revision>2</cp:revision>
  <cp:lastPrinted>2015-07-20T18:17:00Z</cp:lastPrinted>
  <dcterms:created xsi:type="dcterms:W3CDTF">2015-09-01T17:58:00Z</dcterms:created>
  <dcterms:modified xsi:type="dcterms:W3CDTF">2015-09-01T17:58:00Z</dcterms:modified>
</cp:coreProperties>
</file>